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DE9F2" w14:textId="77777777" w:rsidR="009C1284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>Kupní smlouva</w:t>
      </w:r>
    </w:p>
    <w:p w14:paraId="73C4A373" w14:textId="78F389D4" w:rsidR="00F20995" w:rsidRPr="009C1284" w:rsidRDefault="009C1284" w:rsidP="000E4F4B">
      <w:pPr>
        <w:pStyle w:val="Nzev"/>
        <w:keepLines/>
        <w:spacing w:before="0" w:after="0"/>
        <w:contextualSpacing/>
        <w:outlineLvl w:val="9"/>
        <w:rPr>
          <w:color w:val="2B91FF" w:themeColor="accent1" w:themeTint="80"/>
          <w:sz w:val="24"/>
          <w:szCs w:val="24"/>
          <w:u w:val="none"/>
          <w:lang w:eastAsia="en-US"/>
        </w:rPr>
      </w:pPr>
      <w:r w:rsidRPr="009C1284">
        <w:rPr>
          <w:color w:val="2B91FF" w:themeColor="accent1" w:themeTint="80"/>
          <w:sz w:val="24"/>
          <w:szCs w:val="24"/>
          <w:u w:val="none"/>
          <w:lang w:eastAsia="en-US"/>
        </w:rPr>
        <w:t xml:space="preserve">Dvojité pružné kroužky </w:t>
      </w:r>
      <w:proofErr w:type="spellStart"/>
      <w:r w:rsidRPr="009C1284">
        <w:rPr>
          <w:color w:val="2B91FF" w:themeColor="accent1" w:themeTint="80"/>
          <w:sz w:val="24"/>
          <w:szCs w:val="24"/>
          <w:u w:val="none"/>
          <w:lang w:eastAsia="en-US"/>
        </w:rPr>
        <w:t>Fe</w:t>
      </w:r>
      <w:proofErr w:type="spellEnd"/>
      <w:r w:rsidRPr="009C1284">
        <w:rPr>
          <w:color w:val="2B91FF" w:themeColor="accent1" w:themeTint="80"/>
          <w:sz w:val="24"/>
          <w:szCs w:val="24"/>
          <w:u w:val="none"/>
          <w:lang w:eastAsia="en-US"/>
        </w:rPr>
        <w:t xml:space="preserve"> 6</w:t>
      </w:r>
      <w:r w:rsidR="00242024">
        <w:rPr>
          <w:color w:val="2B91FF" w:themeColor="accent1" w:themeTint="80"/>
          <w:sz w:val="24"/>
          <w:szCs w:val="24"/>
          <w:u w:val="none"/>
          <w:lang w:eastAsia="en-US"/>
        </w:rPr>
        <w:t xml:space="preserve"> – OŘ HKR</w:t>
      </w:r>
    </w:p>
    <w:p w14:paraId="7412C2C7" w14:textId="77777777" w:rsidR="009C1284" w:rsidRDefault="009C128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06866C32" w14:textId="5C21B155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E55B7B">
        <w:rPr>
          <w:rFonts w:eastAsia="Times New Roman" w:cs="Times New Roman"/>
          <w:b/>
          <w:lang w:eastAsia="cs-CZ"/>
        </w:rPr>
        <w:t xml:space="preserve">Číslo smlouvy kupujícího. </w:t>
      </w:r>
      <w:r w:rsidR="00E55B7B" w:rsidRPr="00E55B7B">
        <w:rPr>
          <w:rFonts w:eastAsia="Times New Roman" w:cs="Times New Roman"/>
          <w:b/>
          <w:highlight w:val="green"/>
          <w:lang w:eastAsia="cs-CZ"/>
        </w:rPr>
        <w:t>"[VLOŽÍ KUPUJÍCÍ]"</w:t>
      </w:r>
    </w:p>
    <w:p w14:paraId="6DF16FA9" w14:textId="22070431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55B7B">
        <w:rPr>
          <w:rFonts w:eastAsia="Times New Roman" w:cs="Times New Roman"/>
          <w:b/>
          <w:lang w:eastAsia="cs-CZ"/>
        </w:rPr>
        <w:t xml:space="preserve">Číslo smlouvy prodávajícího. </w:t>
      </w:r>
      <w:r w:rsidR="00E55B7B" w:rsidRPr="00E55B7B">
        <w:rPr>
          <w:rFonts w:eastAsia="Times New Roman" w:cs="Times New Roman"/>
          <w:b/>
          <w:highlight w:val="yellow"/>
          <w:lang w:eastAsia="cs-CZ"/>
        </w:rPr>
        <w:t>"[VLOŽÍ PRODÁVAJÍCÍ]"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3F5957C" w14:textId="77777777" w:rsidR="00B85DD0" w:rsidRPr="004E1498" w:rsidRDefault="00D85C5B" w:rsidP="00B85DD0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B85DD0" w:rsidRPr="004E1498">
        <w:rPr>
          <w:rFonts w:eastAsia="Times New Roman" w:cs="Times New Roman"/>
          <w:b/>
          <w:lang w:eastAsia="cs-CZ"/>
        </w:rPr>
        <w:t>Správa</w:t>
      </w:r>
      <w:r w:rsidR="00B85DD0">
        <w:rPr>
          <w:rFonts w:eastAsia="Times New Roman" w:cs="Times New Roman"/>
          <w:b/>
          <w:lang w:eastAsia="cs-CZ"/>
        </w:rPr>
        <w:t xml:space="preserve"> železnic</w:t>
      </w:r>
      <w:r w:rsidR="00B85DD0" w:rsidRPr="004E1498">
        <w:rPr>
          <w:rFonts w:eastAsia="Times New Roman" w:cs="Times New Roman"/>
          <w:b/>
          <w:lang w:eastAsia="cs-CZ"/>
        </w:rPr>
        <w:t>, státní organizace</w:t>
      </w:r>
    </w:p>
    <w:p w14:paraId="6F747CC7" w14:textId="77777777" w:rsidR="00B85DD0" w:rsidRPr="004E1498" w:rsidRDefault="00B85DD0" w:rsidP="00B85DD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zapsaná v obchodním rejstříku vedeném Měst</w:t>
      </w:r>
      <w:r>
        <w:rPr>
          <w:rFonts w:eastAsia="Times New Roman" w:cs="Times New Roman"/>
          <w:lang w:eastAsia="cs-CZ"/>
        </w:rPr>
        <w:t xml:space="preserve">ským soudem v Praze pod </w:t>
      </w:r>
      <w:proofErr w:type="spellStart"/>
      <w:r>
        <w:rPr>
          <w:rFonts w:eastAsia="Times New Roman" w:cs="Times New Roman"/>
          <w:lang w:eastAsia="cs-CZ"/>
        </w:rPr>
        <w:t>sp</w:t>
      </w:r>
      <w:proofErr w:type="spellEnd"/>
      <w:r>
        <w:rPr>
          <w:rFonts w:eastAsia="Times New Roman" w:cs="Times New Roman"/>
          <w:lang w:eastAsia="cs-CZ"/>
        </w:rPr>
        <w:t>. zn.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62E3CA1D" w14:textId="77777777" w:rsidR="00B85DD0" w:rsidRPr="004E1498" w:rsidRDefault="00B85DD0" w:rsidP="00B85DD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7CDA30F" w14:textId="77777777" w:rsidR="00B85DD0" w:rsidRPr="004E1498" w:rsidRDefault="00B85DD0" w:rsidP="00B85DD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6F55F34" w14:textId="77777777" w:rsidR="00B85DD0" w:rsidRPr="006A50DB" w:rsidRDefault="00B85DD0" w:rsidP="00B85DD0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  <w:t>Organizační složka Oblastní ředitelství Hradec Králové</w:t>
      </w:r>
    </w:p>
    <w:p w14:paraId="0E51FED2" w14:textId="0FFE48DB" w:rsidR="00B85DD0" w:rsidRDefault="00B85DD0" w:rsidP="00B85DD0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Zastoupená:</w:t>
      </w:r>
      <w:r>
        <w:rPr>
          <w:noProof/>
        </w:rPr>
        <w:tab/>
        <w:t xml:space="preserve">Ing. Petr Vodička, </w:t>
      </w:r>
      <w:r w:rsidRPr="00752986">
        <w:rPr>
          <w:noProof/>
        </w:rPr>
        <w:t xml:space="preserve">ředitelem Oblastního ředitelství Hradec Králové na základě pověření </w:t>
      </w:r>
      <w:r w:rsidRPr="00752986">
        <w:t xml:space="preserve">č. </w:t>
      </w:r>
      <w:r w:rsidR="00752986" w:rsidRPr="00752986">
        <w:t>3358</w:t>
      </w:r>
      <w:r w:rsidR="00DF51C6" w:rsidRPr="00752986">
        <w:t xml:space="preserve"> </w:t>
      </w:r>
      <w:r w:rsidRPr="00752986">
        <w:t xml:space="preserve">ze dne </w:t>
      </w:r>
      <w:r w:rsidR="00752986" w:rsidRPr="00752986">
        <w:t>16</w:t>
      </w:r>
      <w:r w:rsidR="00DF51C6" w:rsidRPr="00752986">
        <w:t xml:space="preserve">. </w:t>
      </w:r>
      <w:r w:rsidR="00752986" w:rsidRPr="00752986">
        <w:t>6</w:t>
      </w:r>
      <w:r w:rsidR="00DF51C6" w:rsidRPr="00752986">
        <w:t xml:space="preserve">. </w:t>
      </w:r>
      <w:r w:rsidR="00752986" w:rsidRPr="00752986">
        <w:t>2023</w:t>
      </w:r>
      <w:r w:rsidR="0075298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7AA98937" w14:textId="77777777" w:rsidR="00B85DD0" w:rsidRPr="00B41B16" w:rsidRDefault="00B85DD0" w:rsidP="00B85DD0">
      <w:pPr>
        <w:spacing w:after="0" w:line="240" w:lineRule="auto"/>
        <w:ind w:left="2835" w:hanging="1417"/>
        <w:jc w:val="both"/>
        <w:rPr>
          <w:rFonts w:cs="Times New Roman"/>
          <w:lang w:eastAsia="cs-CZ"/>
        </w:rPr>
      </w:pPr>
      <w:r w:rsidRPr="00B41B16">
        <w:rPr>
          <w:rFonts w:cs="Times New Roman"/>
          <w:lang w:eastAsia="cs-CZ"/>
        </w:rPr>
        <w:t xml:space="preserve">Bankovní spojení: </w:t>
      </w:r>
      <w:r w:rsidRPr="001C2A3F">
        <w:rPr>
          <w:rFonts w:eastAsia="Times New Roman" w:cs="Arial"/>
          <w:snapToGrid w:val="0"/>
          <w:lang w:eastAsia="cs-CZ"/>
        </w:rPr>
        <w:t>Česká národní banka, č. účtu: 14606011/0710</w:t>
      </w:r>
    </w:p>
    <w:p w14:paraId="248866EA" w14:textId="5501F565" w:rsidR="00E55B7B" w:rsidRDefault="00E55B7B" w:rsidP="00B85D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54A543B" w14:textId="77777777" w:rsidR="00B85DD0" w:rsidRDefault="00B85DD0" w:rsidP="00B85DD0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3F8E4396" w14:textId="77777777" w:rsidR="00B85DD0" w:rsidRPr="00625454" w:rsidRDefault="00B85DD0" w:rsidP="00B85DD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4FC3978D" w14:textId="77777777" w:rsidR="00B85DD0" w:rsidRPr="00872525" w:rsidRDefault="00B85DD0" w:rsidP="00B85DD0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1D99CFB2" w14:textId="77777777" w:rsidR="00B85DD0" w:rsidRPr="00872525" w:rsidRDefault="00B85DD0" w:rsidP="00B85DD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30C1A07A" w14:textId="77777777" w:rsidR="00B85DD0" w:rsidRDefault="00B85DD0" w:rsidP="00B85DD0">
      <w:pPr>
        <w:pStyle w:val="Textbezodsazen"/>
        <w:spacing w:after="0"/>
      </w:pPr>
      <w:r>
        <w:t>Správa železnic, státní organizace</w:t>
      </w:r>
    </w:p>
    <w:p w14:paraId="0F3646BC" w14:textId="77777777" w:rsidR="00B85DD0" w:rsidRDefault="00B85DD0" w:rsidP="00B85DD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304448AE" w14:textId="77777777" w:rsidR="00B85DD0" w:rsidRDefault="00B85DD0" w:rsidP="00B85DD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U Fotochemy 259</w:t>
      </w:r>
    </w:p>
    <w:p w14:paraId="46A4FF65" w14:textId="77777777" w:rsidR="00B85DD0" w:rsidRDefault="00B85DD0" w:rsidP="00B85DD0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42E6AAC5" w14:textId="1A7CE8C5" w:rsidR="00B85DD0" w:rsidRDefault="00B85DD0" w:rsidP="00B85DD0">
      <w:pPr>
        <w:pStyle w:val="Textbezodsazen"/>
      </w:pPr>
      <w:r>
        <w:t>(dále jen „</w:t>
      </w:r>
      <w:r w:rsidR="00B951CC">
        <w:rPr>
          <w:b/>
        </w:rPr>
        <w:t>Kupující</w:t>
      </w:r>
      <w:r>
        <w:t>“)</w:t>
      </w:r>
    </w:p>
    <w:p w14:paraId="263222AE" w14:textId="77777777" w:rsidR="00B85DD0" w:rsidRDefault="00B85DD0" w:rsidP="00B85DD0">
      <w:pPr>
        <w:pStyle w:val="Textbezodsazen"/>
      </w:pPr>
    </w:p>
    <w:p w14:paraId="6C694241" w14:textId="77777777" w:rsidR="00B85DD0" w:rsidRDefault="00B85DD0" w:rsidP="00B85DD0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1D1F97AC" w14:textId="77777777" w:rsidR="00B85DD0" w:rsidRDefault="00B85DD0" w:rsidP="00B85DD0">
      <w:pPr>
        <w:pStyle w:val="Textbezodsazen"/>
      </w:pPr>
      <w:r>
        <w:t>E-mail: ePodatelnaCFU@spravazeleznic.cz</w:t>
      </w:r>
    </w:p>
    <w:p w14:paraId="600A763A" w14:textId="50BE88BF" w:rsidR="00B85DD0" w:rsidRPr="00010A5F" w:rsidRDefault="00B85DD0" w:rsidP="00B85DD0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 xml:space="preserve">ev. č. registru VZ: </w:t>
      </w:r>
      <w:r w:rsidR="00752986">
        <w:rPr>
          <w:noProof/>
        </w:rPr>
        <w:t>64023056</w:t>
      </w:r>
    </w:p>
    <w:p w14:paraId="0C66799F" w14:textId="77777777" w:rsidR="00B85DD0" w:rsidRDefault="00B85DD0" w:rsidP="00B85DD0">
      <w:pPr>
        <w:tabs>
          <w:tab w:val="left" w:pos="1418"/>
        </w:tabs>
        <w:spacing w:after="0" w:line="240" w:lineRule="auto"/>
        <w:jc w:val="both"/>
        <w:rPr>
          <w:noProof/>
        </w:rPr>
      </w:pPr>
      <w:r w:rsidRPr="00010A5F">
        <w:rPr>
          <w:noProof/>
        </w:rPr>
        <w:t xml:space="preserve">číslo jednací: </w:t>
      </w:r>
      <w:r w:rsidRPr="00B85DD0">
        <w:rPr>
          <w:noProof/>
          <w:highlight w:val="gree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B85DD0">
        <w:rPr>
          <w:noProof/>
          <w:highlight w:val="green"/>
        </w:rPr>
        <w:instrText xml:space="preserve"> FORMTEXT </w:instrText>
      </w:r>
      <w:r w:rsidRPr="00B85DD0">
        <w:rPr>
          <w:noProof/>
          <w:highlight w:val="green"/>
        </w:rPr>
      </w:r>
      <w:r w:rsidRPr="00B85DD0">
        <w:rPr>
          <w:noProof/>
          <w:highlight w:val="green"/>
        </w:rPr>
        <w:fldChar w:fldCharType="separate"/>
      </w:r>
      <w:r w:rsidRPr="00B85DD0">
        <w:rPr>
          <w:noProof/>
          <w:highlight w:val="green"/>
        </w:rPr>
        <w:t>"[VLOŽÍ OBJEDNATEL]"</w:t>
      </w:r>
      <w:r w:rsidRPr="00B85DD0">
        <w:rPr>
          <w:noProof/>
          <w:highlight w:val="green"/>
        </w:rPr>
        <w:fldChar w:fldCharType="end"/>
      </w:r>
    </w:p>
    <w:p w14:paraId="5254877A" w14:textId="77777777" w:rsidR="00B85DD0" w:rsidRDefault="00B85DD0" w:rsidP="00B85DD0">
      <w:pPr>
        <w:tabs>
          <w:tab w:val="left" w:pos="1418"/>
        </w:tabs>
        <w:spacing w:after="0" w:line="240" w:lineRule="auto"/>
        <w:jc w:val="both"/>
        <w:rPr>
          <w:noProof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BABF08B" w14:textId="2D3E6034" w:rsidR="00D8249A" w:rsidRPr="00010A5F" w:rsidRDefault="00D8249A" w:rsidP="00D824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>
        <w:rPr>
          <w:rFonts w:eastAsia="Times New Roman" w:cs="Times New Roman"/>
          <w:b/>
          <w:lang w:eastAsia="cs-CZ"/>
        </w:rPr>
        <w:t>Prodávající</w:t>
      </w:r>
      <w:r w:rsidRPr="00010A5F">
        <w:rPr>
          <w:rFonts w:eastAsia="Times New Roman" w:cs="Times New Roman"/>
          <w:b/>
          <w:lang w:eastAsia="cs-CZ"/>
        </w:rPr>
        <w:t>:</w:t>
      </w:r>
      <w:r w:rsidRPr="00010A5F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>
        <w:rPr>
          <w:rFonts w:eastAsia="Times New Roman" w:cs="Times New Roman"/>
          <w:b/>
          <w:highlight w:val="yellow"/>
          <w:lang w:eastAsia="cs-CZ"/>
        </w:rPr>
      </w:r>
      <w:r>
        <w:rPr>
          <w:rFonts w:eastAsia="Times New Roman" w:cs="Times New Roman"/>
          <w:b/>
          <w:highlight w:val="yellow"/>
          <w:lang w:eastAsia="cs-CZ"/>
        </w:rPr>
        <w:fldChar w:fldCharType="separate"/>
      </w:r>
      <w:r>
        <w:rPr>
          <w:rFonts w:eastAsia="Times New Roman" w:cs="Times New Roman"/>
          <w:b/>
          <w:noProof/>
          <w:highlight w:val="yellow"/>
          <w:lang w:eastAsia="cs-CZ"/>
        </w:rPr>
        <w:t>"[VLOŽÍ PRODÁVAJÍCÍ]"</w:t>
      </w:r>
      <w:r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3E37EF28" w14:textId="42CF70F8" w:rsidR="00D8249A" w:rsidRPr="00010A5F" w:rsidRDefault="00D8249A" w:rsidP="00D8249A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i/>
          <w:lang w:eastAsia="cs-CZ"/>
        </w:rPr>
      </w:pPr>
      <w:r w:rsidRPr="00010A5F">
        <w:tab/>
        <w:t xml:space="preserve">zapsaná v obchodním rejstříku vedeném 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  <w:r>
        <w:t xml:space="preserve"> soudem v 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pod </w:t>
      </w:r>
      <w:proofErr w:type="spellStart"/>
      <w:r w:rsidRPr="00010A5F">
        <w:t>sp</w:t>
      </w:r>
      <w:proofErr w:type="spellEnd"/>
      <w:r w:rsidRPr="00010A5F">
        <w:t xml:space="preserve">. zn. 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</w:p>
    <w:p w14:paraId="02DEADEC" w14:textId="1130883E" w:rsidR="00D8249A" w:rsidRPr="00010A5F" w:rsidRDefault="00D8249A" w:rsidP="00D8249A">
      <w:pPr>
        <w:pStyle w:val="Textbezodsazen"/>
        <w:spacing w:after="0"/>
        <w:ind w:left="708" w:firstLine="708"/>
      </w:pPr>
      <w:r w:rsidRPr="00010A5F">
        <w:t xml:space="preserve">sídlo 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" </w:t>
      </w:r>
    </w:p>
    <w:p w14:paraId="33C2E8CA" w14:textId="5244CC91" w:rsidR="00D8249A" w:rsidRPr="00010A5F" w:rsidRDefault="00D8249A" w:rsidP="00D8249A">
      <w:pPr>
        <w:pStyle w:val="Textbezodsazen"/>
        <w:spacing w:after="0"/>
        <w:ind w:left="708" w:firstLine="708"/>
      </w:pPr>
      <w:r w:rsidRPr="00010A5F">
        <w:t xml:space="preserve">IČO 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DIČ 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57694DBF" w14:textId="5E2B76EE" w:rsidR="00D8249A" w:rsidRPr="00010A5F" w:rsidRDefault="00D8249A" w:rsidP="00D8249A">
      <w:pPr>
        <w:pStyle w:val="Textbezodsazen"/>
        <w:tabs>
          <w:tab w:val="left" w:pos="1418"/>
        </w:tabs>
        <w:spacing w:after="0"/>
        <w:ind w:left="2127" w:hanging="708"/>
      </w:pPr>
      <w:r w:rsidRPr="00010A5F">
        <w:t>Zastoupená:</w:t>
      </w:r>
      <w:r w:rsidRPr="00010A5F">
        <w:tab/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</w:p>
    <w:p w14:paraId="7DD88A59" w14:textId="68EB91B3" w:rsidR="00D8249A" w:rsidRPr="00010A5F" w:rsidRDefault="00D8249A" w:rsidP="00D8249A">
      <w:pPr>
        <w:pStyle w:val="Textbezodsazen"/>
        <w:spacing w:after="0"/>
        <w:ind w:left="2127" w:hanging="709"/>
      </w:pPr>
      <w:r w:rsidRPr="00010A5F">
        <w:t xml:space="preserve">Bank. spojení: 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č. účtu: </w:t>
      </w:r>
      <w:r w:rsidR="00BE1184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BE1184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BE1184">
        <w:rPr>
          <w:rFonts w:eastAsia="Times New Roman" w:cs="Times New Roman"/>
          <w:highlight w:val="yellow"/>
          <w:lang w:eastAsia="cs-CZ"/>
        </w:rPr>
      </w:r>
      <w:r w:rsidR="00BE1184">
        <w:rPr>
          <w:rFonts w:eastAsia="Times New Roman" w:cs="Times New Roman"/>
          <w:highlight w:val="yellow"/>
          <w:lang w:eastAsia="cs-CZ"/>
        </w:rPr>
        <w:fldChar w:fldCharType="separate"/>
      </w:r>
      <w:r w:rsidR="00BE1184"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 w:rsidR="00BE1184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77408319" w14:textId="77777777" w:rsidR="00D8249A" w:rsidRPr="00010A5F" w:rsidRDefault="00D8249A" w:rsidP="00D8249A">
      <w:pPr>
        <w:pStyle w:val="Textbezodsazen"/>
        <w:spacing w:after="0"/>
      </w:pPr>
    </w:p>
    <w:p w14:paraId="00F23F36" w14:textId="77777777" w:rsidR="00D8249A" w:rsidRPr="00010A5F" w:rsidRDefault="00D8249A" w:rsidP="00D8249A">
      <w:pPr>
        <w:pStyle w:val="Textbezodsazen"/>
        <w:spacing w:after="0"/>
      </w:pPr>
    </w:p>
    <w:p w14:paraId="686FA819" w14:textId="77777777" w:rsidR="00D8249A" w:rsidRPr="00010A5F" w:rsidRDefault="00D8249A" w:rsidP="00D8249A">
      <w:pPr>
        <w:pStyle w:val="Textbezodsazen"/>
        <w:spacing w:after="0"/>
        <w:rPr>
          <w:rStyle w:val="Zdraznnjemn"/>
          <w:b/>
          <w:iCs w:val="0"/>
        </w:rPr>
      </w:pPr>
      <w:r w:rsidRPr="00010A5F">
        <w:rPr>
          <w:rStyle w:val="Zdraznnjemn"/>
          <w:b/>
        </w:rPr>
        <w:t xml:space="preserve">Korespondenční adresa: </w:t>
      </w:r>
    </w:p>
    <w:p w14:paraId="1E90AABD" w14:textId="68ABA3BB" w:rsidR="00D8249A" w:rsidRDefault="00BE1184" w:rsidP="00D8249A">
      <w:pPr>
        <w:pStyle w:val="Textbezodsazen"/>
      </w:pPr>
      <w:r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eastAsia="Times New Roman" w:cs="Times New Roman"/>
          <w:highlight w:val="yellow"/>
          <w:lang w:eastAsia="cs-CZ"/>
        </w:rPr>
        <w:instrText xml:space="preserve"> FORMTEXT </w:instrText>
      </w:r>
      <w:r>
        <w:rPr>
          <w:rFonts w:eastAsia="Times New Roman" w:cs="Times New Roman"/>
          <w:highlight w:val="yellow"/>
          <w:lang w:eastAsia="cs-CZ"/>
        </w:rPr>
      </w:r>
      <w:r>
        <w:rPr>
          <w:rFonts w:eastAsia="Times New Roman" w:cs="Times New Roman"/>
          <w:highlight w:val="yellow"/>
          <w:lang w:eastAsia="cs-CZ"/>
        </w:rPr>
        <w:fldChar w:fldCharType="separate"/>
      </w:r>
      <w:r>
        <w:rPr>
          <w:rFonts w:eastAsia="Times New Roman" w:cs="Times New Roman"/>
          <w:noProof/>
          <w:highlight w:val="yellow"/>
          <w:lang w:eastAsia="cs-CZ"/>
        </w:rPr>
        <w:t>"[VLOŽÍ PRODÁVAJÍCÍ]"</w:t>
      </w:r>
      <w:r>
        <w:rPr>
          <w:rFonts w:eastAsia="Times New Roman" w:cs="Times New Roman"/>
          <w:highlight w:val="yellow"/>
          <w:lang w:eastAsia="cs-CZ"/>
        </w:rPr>
        <w:fldChar w:fldCharType="end"/>
      </w:r>
      <w:r w:rsidR="00D8249A">
        <w:t xml:space="preserve"> </w:t>
      </w:r>
    </w:p>
    <w:p w14:paraId="2EF2E9EE" w14:textId="067AD9C0" w:rsidR="00D8249A" w:rsidRDefault="00D8249A" w:rsidP="00D8249A">
      <w:pPr>
        <w:pStyle w:val="Textbezodsazen"/>
      </w:pPr>
      <w:r>
        <w:t>(dále jen „</w:t>
      </w:r>
      <w:r w:rsidR="00BE1184">
        <w:rPr>
          <w:rStyle w:val="Tun"/>
        </w:rPr>
        <w:t>Prodávající</w:t>
      </w:r>
      <w:r>
        <w:t>“)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6F6E711" w:rsidR="00D85C5B" w:rsidRPr="000C5DA0" w:rsidRDefault="00D85C5B" w:rsidP="002B378D">
      <w:pPr>
        <w:rPr>
          <w:lang w:eastAsia="cs-CZ"/>
        </w:rPr>
      </w:pPr>
      <w:r w:rsidRPr="005A6A53">
        <w:rPr>
          <w:lang w:eastAsia="cs-CZ"/>
        </w:rPr>
        <w:lastRenderedPageBreak/>
        <w:t xml:space="preserve">Tato smlouva je uzavřena na základě výsledků </w:t>
      </w:r>
      <w:r w:rsidR="00677BC8" w:rsidRPr="005A6A53">
        <w:rPr>
          <w:lang w:eastAsia="cs-CZ"/>
        </w:rPr>
        <w:t>výběrového</w:t>
      </w:r>
      <w:r w:rsidRPr="005A6A53">
        <w:rPr>
          <w:lang w:eastAsia="cs-CZ"/>
        </w:rPr>
        <w:t xml:space="preserve"> ří</w:t>
      </w:r>
      <w:r w:rsidR="00902472" w:rsidRPr="005A6A53">
        <w:rPr>
          <w:lang w:eastAsia="cs-CZ"/>
        </w:rPr>
        <w:t xml:space="preserve">zení veřejné zakázky s názvem „Dvojité pružné kroužky </w:t>
      </w:r>
      <w:proofErr w:type="spellStart"/>
      <w:r w:rsidR="00902472" w:rsidRPr="005A6A53">
        <w:rPr>
          <w:lang w:eastAsia="cs-CZ"/>
        </w:rPr>
        <w:t>Fe</w:t>
      </w:r>
      <w:proofErr w:type="spellEnd"/>
      <w:r w:rsidR="00902472" w:rsidRPr="005A6A53">
        <w:rPr>
          <w:lang w:eastAsia="cs-CZ"/>
        </w:rPr>
        <w:t xml:space="preserve"> 6</w:t>
      </w:r>
      <w:r w:rsidR="00242024">
        <w:rPr>
          <w:lang w:eastAsia="cs-CZ"/>
        </w:rPr>
        <w:t xml:space="preserve"> </w:t>
      </w:r>
      <w:r w:rsidR="003A11C6">
        <w:rPr>
          <w:lang w:eastAsia="cs-CZ"/>
        </w:rPr>
        <w:t>–</w:t>
      </w:r>
      <w:r w:rsidR="00242024">
        <w:rPr>
          <w:lang w:eastAsia="cs-CZ"/>
        </w:rPr>
        <w:t xml:space="preserve"> </w:t>
      </w:r>
      <w:r w:rsidR="003A11C6">
        <w:rPr>
          <w:lang w:eastAsia="cs-CZ"/>
        </w:rPr>
        <w:t>OŘ HKR</w:t>
      </w:r>
      <w:r w:rsidRPr="005A6A53">
        <w:rPr>
          <w:lang w:eastAsia="cs-CZ"/>
        </w:rPr>
        <w:t xml:space="preserve">“, </w:t>
      </w:r>
      <w:r w:rsidR="001C22E7" w:rsidRPr="005A6A53">
        <w:rPr>
          <w:rFonts w:eastAsia="Times New Roman" w:cs="Times New Roman"/>
          <w:lang w:eastAsia="cs-CZ"/>
        </w:rPr>
        <w:t>č.</w:t>
      </w:r>
      <w:r w:rsidR="00902472" w:rsidRPr="005A6A53">
        <w:rPr>
          <w:rFonts w:eastAsia="Times New Roman" w:cs="Times New Roman"/>
          <w:lang w:eastAsia="cs-CZ"/>
        </w:rPr>
        <w:t xml:space="preserve"> </w:t>
      </w:r>
      <w:r w:rsidR="001C22E7" w:rsidRPr="005A6A53">
        <w:rPr>
          <w:rFonts w:eastAsia="Times New Roman" w:cs="Times New Roman"/>
          <w:lang w:eastAsia="cs-CZ"/>
        </w:rPr>
        <w:t>j. veřejné zakázky</w:t>
      </w:r>
      <w:r w:rsidR="00F20995" w:rsidRPr="005A6A53">
        <w:rPr>
          <w:rFonts w:eastAsia="Times New Roman" w:cs="Times New Roman"/>
          <w:lang w:eastAsia="cs-CZ"/>
        </w:rPr>
        <w:t xml:space="preserve"> </w:t>
      </w:r>
      <w:r w:rsidR="00752986" w:rsidRPr="00E27222">
        <w:t>19795/2023-SŽ-OŘ HKR-NPI</w:t>
      </w:r>
      <w:r w:rsidR="00752986" w:rsidDel="00752986">
        <w:rPr>
          <w:rFonts w:eastAsia="Times New Roman" w:cs="Times New Roman"/>
          <w:highlight w:val="green"/>
          <w:lang w:eastAsia="cs-CZ"/>
        </w:rPr>
        <w:t xml:space="preserve"> </w:t>
      </w:r>
      <w:r w:rsidRPr="005A6A53">
        <w:rPr>
          <w:lang w:eastAsia="cs-CZ"/>
        </w:rPr>
        <w:t>(dále jen „</w:t>
      </w:r>
      <w:r w:rsidR="003D06BE" w:rsidRPr="005A6A53">
        <w:rPr>
          <w:b/>
          <w:lang w:eastAsia="cs-CZ"/>
        </w:rPr>
        <w:t xml:space="preserve">Veřejná </w:t>
      </w:r>
      <w:r w:rsidRPr="005A6A53">
        <w:rPr>
          <w:b/>
          <w:lang w:eastAsia="cs-CZ"/>
        </w:rPr>
        <w:t>zakázka</w:t>
      </w:r>
      <w:r w:rsidRPr="005A6A53">
        <w:rPr>
          <w:lang w:eastAsia="cs-CZ"/>
        </w:rPr>
        <w:t xml:space="preserve">“). Jednotlivá ustanovení této </w:t>
      </w:r>
      <w:r w:rsidR="008B1447" w:rsidRPr="005A6A53">
        <w:rPr>
          <w:lang w:eastAsia="cs-CZ"/>
        </w:rPr>
        <w:t>Sml</w:t>
      </w:r>
      <w:r w:rsidRPr="005A6A53">
        <w:rPr>
          <w:lang w:eastAsia="cs-CZ"/>
        </w:rPr>
        <w:t>ouvy tak budou vykládána v souladu se</w:t>
      </w:r>
      <w:r w:rsidR="00CD7389">
        <w:rPr>
          <w:lang w:eastAsia="cs-CZ"/>
        </w:rPr>
        <w:t> </w:t>
      </w:r>
      <w:r w:rsidRPr="000C5DA0">
        <w:rPr>
          <w:lang w:eastAsia="cs-CZ"/>
        </w:rPr>
        <w:t xml:space="preserve">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31447D7B" w14:textId="5C7213CF" w:rsidR="00462296" w:rsidRPr="00DF732D" w:rsidRDefault="00462296" w:rsidP="00517081">
      <w:pPr>
        <w:pStyle w:val="Nadpis1"/>
        <w:numPr>
          <w:ilvl w:val="1"/>
          <w:numId w:val="5"/>
        </w:numPr>
        <w:spacing w:before="120" w:line="264" w:lineRule="auto"/>
        <w:ind w:left="709" w:hanging="709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 xml:space="preserve">Předmětem </w:t>
      </w:r>
      <w:r w:rsidR="00054EFA">
        <w:rPr>
          <w:rFonts w:asciiTheme="minorHAnsi" w:hAnsiTheme="minorHAnsi"/>
          <w:b w:val="0"/>
          <w:u w:val="none"/>
        </w:rPr>
        <w:t>této S</w:t>
      </w:r>
      <w:r w:rsidRPr="00DF732D">
        <w:rPr>
          <w:rFonts w:asciiTheme="minorHAnsi" w:hAnsiTheme="minorHAnsi"/>
          <w:b w:val="0"/>
          <w:u w:val="none"/>
        </w:rPr>
        <w:t xml:space="preserve">mlouvy </w:t>
      </w:r>
      <w:r w:rsidR="00DF732D">
        <w:rPr>
          <w:rFonts w:asciiTheme="minorHAnsi" w:hAnsiTheme="minorHAnsi"/>
          <w:b w:val="0"/>
          <w:u w:val="none"/>
        </w:rPr>
        <w:t>je</w:t>
      </w:r>
      <w:r w:rsidRPr="00DF732D">
        <w:rPr>
          <w:rFonts w:asciiTheme="minorHAnsi" w:hAnsiTheme="minorHAnsi"/>
          <w:b w:val="0"/>
          <w:u w:val="none"/>
        </w:rPr>
        <w:t xml:space="preserve"> dodávk</w:t>
      </w:r>
      <w:r w:rsidR="00DF732D">
        <w:rPr>
          <w:rFonts w:asciiTheme="minorHAnsi" w:hAnsiTheme="minorHAnsi"/>
          <w:b w:val="0"/>
          <w:u w:val="none"/>
        </w:rPr>
        <w:t>a</w:t>
      </w:r>
      <w:r w:rsidRPr="00DF732D">
        <w:rPr>
          <w:rFonts w:asciiTheme="minorHAnsi" w:hAnsiTheme="minorHAnsi"/>
          <w:b w:val="0"/>
          <w:u w:val="none"/>
        </w:rPr>
        <w:t xml:space="preserve"> </w:t>
      </w:r>
      <w:r w:rsidR="003A11C6">
        <w:rPr>
          <w:rFonts w:asciiTheme="minorHAnsi" w:hAnsiTheme="minorHAnsi"/>
          <w:b w:val="0"/>
          <w:u w:val="none"/>
        </w:rPr>
        <w:t>221</w:t>
      </w:r>
      <w:r w:rsidR="00DF732D">
        <w:rPr>
          <w:rFonts w:asciiTheme="minorHAnsi" w:hAnsiTheme="minorHAnsi"/>
          <w:b w:val="0"/>
          <w:u w:val="none"/>
        </w:rPr>
        <w:t> 000 k</w:t>
      </w:r>
      <w:r w:rsidR="00762E36">
        <w:rPr>
          <w:rFonts w:asciiTheme="minorHAnsi" w:hAnsiTheme="minorHAnsi"/>
          <w:b w:val="0"/>
          <w:u w:val="none"/>
        </w:rPr>
        <w:t>u</w:t>
      </w:r>
      <w:r w:rsidR="00DF732D">
        <w:rPr>
          <w:rFonts w:asciiTheme="minorHAnsi" w:hAnsiTheme="minorHAnsi"/>
          <w:b w:val="0"/>
          <w:u w:val="none"/>
        </w:rPr>
        <w:t>s</w:t>
      </w:r>
      <w:r w:rsidR="00762E36">
        <w:rPr>
          <w:rFonts w:asciiTheme="minorHAnsi" w:hAnsiTheme="minorHAnsi"/>
          <w:b w:val="0"/>
          <w:u w:val="none"/>
        </w:rPr>
        <w:t>ů</w:t>
      </w:r>
      <w:r w:rsidR="00DF732D">
        <w:rPr>
          <w:rFonts w:asciiTheme="minorHAnsi" w:hAnsiTheme="minorHAnsi"/>
          <w:b w:val="0"/>
          <w:u w:val="none"/>
        </w:rPr>
        <w:t xml:space="preserve"> </w:t>
      </w:r>
      <w:r w:rsidRPr="00DF732D">
        <w:rPr>
          <w:rFonts w:asciiTheme="minorHAnsi" w:hAnsiTheme="minorHAnsi"/>
          <w:b w:val="0"/>
          <w:u w:val="none"/>
        </w:rPr>
        <w:t xml:space="preserve">dvojitých pružných kroužků </w:t>
      </w:r>
      <w:proofErr w:type="spellStart"/>
      <w:r w:rsidRPr="00DF732D">
        <w:rPr>
          <w:rFonts w:asciiTheme="minorHAnsi" w:hAnsiTheme="minorHAnsi"/>
          <w:b w:val="0"/>
          <w:u w:val="none"/>
        </w:rPr>
        <w:t>Fe</w:t>
      </w:r>
      <w:proofErr w:type="spellEnd"/>
      <w:r w:rsidRPr="00DF732D">
        <w:rPr>
          <w:rFonts w:asciiTheme="minorHAnsi" w:hAnsiTheme="minorHAnsi"/>
          <w:b w:val="0"/>
          <w:u w:val="none"/>
        </w:rPr>
        <w:t xml:space="preserve"> 6 pro</w:t>
      </w:r>
      <w:r w:rsidR="00CD7389">
        <w:rPr>
          <w:rFonts w:asciiTheme="minorHAnsi" w:hAnsiTheme="minorHAnsi"/>
          <w:b w:val="0"/>
          <w:u w:val="none"/>
        </w:rPr>
        <w:t xml:space="preserve"> </w:t>
      </w:r>
      <w:r w:rsidRPr="00DF732D">
        <w:rPr>
          <w:rFonts w:asciiTheme="minorHAnsi" w:hAnsiTheme="minorHAnsi"/>
          <w:b w:val="0"/>
          <w:u w:val="none"/>
        </w:rPr>
        <w:t xml:space="preserve">železniční svršek (dále jen „materiál“). </w:t>
      </w:r>
      <w:r w:rsidR="00AD2F55">
        <w:rPr>
          <w:rFonts w:asciiTheme="minorHAnsi" w:hAnsiTheme="minorHAnsi"/>
          <w:b w:val="0"/>
          <w:u w:val="none"/>
        </w:rPr>
        <w:t xml:space="preserve">Materiál </w:t>
      </w:r>
      <w:r w:rsidR="00975DDD">
        <w:rPr>
          <w:rFonts w:asciiTheme="minorHAnsi" w:hAnsiTheme="minorHAnsi"/>
          <w:b w:val="0"/>
          <w:u w:val="none"/>
        </w:rPr>
        <w:t xml:space="preserve">musí být v souladu s Obecnými technickými podmínkami „Dvojité pružné kroužky pro železniční svršek „ </w:t>
      </w:r>
      <w:r w:rsidR="00975DDD" w:rsidRPr="007F0056">
        <w:rPr>
          <w:rFonts w:asciiTheme="minorHAnsi" w:hAnsiTheme="minorHAnsi"/>
          <w:b w:val="0"/>
          <w:u w:val="none"/>
        </w:rPr>
        <w:t>č</w:t>
      </w:r>
      <w:r w:rsidR="00975DDD">
        <w:rPr>
          <w:rFonts w:asciiTheme="minorHAnsi" w:hAnsiTheme="minorHAnsi"/>
          <w:b w:val="0"/>
          <w:u w:val="none"/>
        </w:rPr>
        <w:t xml:space="preserve">. </w:t>
      </w:r>
      <w:r w:rsidR="00975DDD" w:rsidRPr="007F0056">
        <w:rPr>
          <w:rFonts w:asciiTheme="minorHAnsi" w:hAnsiTheme="minorHAnsi"/>
          <w:b w:val="0"/>
          <w:u w:val="none"/>
        </w:rPr>
        <w:t>j. 21777/2023-SŽ-GŘ-O13 (1)</w:t>
      </w:r>
      <w:r w:rsidR="00BA6E6C">
        <w:rPr>
          <w:rFonts w:asciiTheme="minorHAnsi" w:hAnsiTheme="minorHAnsi"/>
          <w:b w:val="0"/>
          <w:u w:val="none"/>
        </w:rPr>
        <w:t xml:space="preserve"> </w:t>
      </w:r>
      <w:r w:rsidR="00975DDD">
        <w:rPr>
          <w:rFonts w:asciiTheme="minorHAnsi" w:hAnsiTheme="minorHAnsi"/>
          <w:b w:val="0"/>
          <w:u w:val="none"/>
        </w:rPr>
        <w:t xml:space="preserve">(dále jen „OTP“) a příslušným vzorovým listem železničního svršku č. 001.316. </w:t>
      </w:r>
    </w:p>
    <w:p w14:paraId="2B8E9653" w14:textId="558C40EE" w:rsidR="00462296" w:rsidRPr="00DF732D" w:rsidRDefault="007711C8" w:rsidP="00517081">
      <w:pPr>
        <w:pStyle w:val="Nadpis1"/>
        <w:numPr>
          <w:ilvl w:val="1"/>
          <w:numId w:val="5"/>
        </w:numPr>
        <w:spacing w:before="120" w:line="264" w:lineRule="auto"/>
        <w:ind w:left="709" w:hanging="709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 xml:space="preserve">Technickou specifikací dodávek materiálu jsou (i) Technické podmínky dodací (dále jen „TPD“), uzavřené mezi Kupujícím a Prodávajícím (případně výrobcem materiálu) pro dodávky předmětného materiálu </w:t>
      </w:r>
      <w:bookmarkStart w:id="0" w:name="_Hlk117688736"/>
      <w:r w:rsidRPr="00DF732D">
        <w:rPr>
          <w:rFonts w:asciiTheme="minorHAnsi" w:hAnsiTheme="minorHAnsi"/>
          <w:b w:val="0"/>
          <w:u w:val="none"/>
        </w:rPr>
        <w:t>nebo (</w:t>
      </w:r>
      <w:proofErr w:type="spellStart"/>
      <w:r w:rsidRPr="00DF732D">
        <w:rPr>
          <w:rFonts w:asciiTheme="minorHAnsi" w:hAnsiTheme="minorHAnsi"/>
          <w:b w:val="0"/>
          <w:u w:val="none"/>
        </w:rPr>
        <w:t>ii</w:t>
      </w:r>
      <w:proofErr w:type="spellEnd"/>
      <w:r w:rsidRPr="00DF732D">
        <w:rPr>
          <w:rFonts w:asciiTheme="minorHAnsi" w:hAnsiTheme="minorHAnsi"/>
          <w:b w:val="0"/>
          <w:u w:val="none"/>
        </w:rPr>
        <w:t xml:space="preserve">) Technické podmínky výrobku (dále jen „TPV“), uzavřené mezi Kupujícím a Prodávajícím (případně výrobcem materiálu), </w:t>
      </w:r>
      <w:bookmarkEnd w:id="0"/>
      <w:r w:rsidRPr="00DF732D">
        <w:rPr>
          <w:rFonts w:asciiTheme="minorHAnsi" w:hAnsiTheme="minorHAnsi"/>
          <w:b w:val="0"/>
          <w:u w:val="none"/>
        </w:rPr>
        <w:t>včetně jejich dodatků a změn,</w:t>
      </w:r>
      <w:r>
        <w:rPr>
          <w:rFonts w:asciiTheme="minorHAnsi" w:hAnsiTheme="minorHAnsi"/>
          <w:b w:val="0"/>
          <w:u w:val="none"/>
        </w:rPr>
        <w:t xml:space="preserve"> </w:t>
      </w:r>
      <w:r w:rsidRPr="00DF732D">
        <w:rPr>
          <w:rFonts w:asciiTheme="minorHAnsi" w:hAnsiTheme="minorHAnsi"/>
          <w:b w:val="0"/>
          <w:u w:val="none"/>
        </w:rPr>
        <w:t>v platném znění a rovněž (</w:t>
      </w:r>
      <w:proofErr w:type="spellStart"/>
      <w:r w:rsidRPr="00DF732D">
        <w:rPr>
          <w:rFonts w:asciiTheme="minorHAnsi" w:hAnsiTheme="minorHAnsi"/>
          <w:b w:val="0"/>
          <w:u w:val="none"/>
        </w:rPr>
        <w:t>iii</w:t>
      </w:r>
      <w:proofErr w:type="spellEnd"/>
      <w:r w:rsidRPr="00DF732D">
        <w:rPr>
          <w:rFonts w:asciiTheme="minorHAnsi" w:hAnsiTheme="minorHAnsi"/>
          <w:b w:val="0"/>
          <w:u w:val="none"/>
        </w:rPr>
        <w:t xml:space="preserve">) </w:t>
      </w:r>
      <w:r>
        <w:rPr>
          <w:rFonts w:asciiTheme="minorHAnsi" w:hAnsiTheme="minorHAnsi"/>
          <w:b w:val="0"/>
          <w:u w:val="none"/>
        </w:rPr>
        <w:t xml:space="preserve">předmětnou výkresovou dokumentací </w:t>
      </w:r>
      <w:r w:rsidRPr="00DF732D">
        <w:rPr>
          <w:rFonts w:asciiTheme="minorHAnsi" w:hAnsiTheme="minorHAnsi"/>
          <w:b w:val="0"/>
          <w:u w:val="none"/>
        </w:rPr>
        <w:t>odsouhlasen</w:t>
      </w:r>
      <w:r>
        <w:rPr>
          <w:rFonts w:asciiTheme="minorHAnsi" w:hAnsiTheme="minorHAnsi"/>
          <w:b w:val="0"/>
          <w:u w:val="none"/>
        </w:rPr>
        <w:t>ou</w:t>
      </w:r>
      <w:r w:rsidRPr="00DF732D">
        <w:rPr>
          <w:rFonts w:asciiTheme="minorHAnsi" w:hAnsiTheme="minorHAnsi"/>
          <w:b w:val="0"/>
          <w:u w:val="none"/>
        </w:rPr>
        <w:t xml:space="preserve"> Kupujícím.</w:t>
      </w:r>
    </w:p>
    <w:p w14:paraId="1829C24D" w14:textId="64FD4685" w:rsidR="00462296" w:rsidRPr="00DF732D" w:rsidRDefault="00462296" w:rsidP="00517081">
      <w:pPr>
        <w:pStyle w:val="Nadpis1"/>
        <w:numPr>
          <w:ilvl w:val="1"/>
          <w:numId w:val="5"/>
        </w:numPr>
        <w:spacing w:before="120" w:line="264" w:lineRule="auto"/>
        <w:ind w:left="709" w:hanging="709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>Prodávající odpovídá za to, že dodaný materiál plně odpovídá požadavkům zákona č. 22/1997 Sb., o technických požadavcích na výrobky, ve znění pozdějších předpisů, a disponuje platnými certifikáty a osvědčeními potvrzujícími, že dodaný materiál splňuje požadavky zákona č. 22/1997 Sb., o technických požadavcích na výrobky, ve znění pozdějších předpisů a dalších platných českých právních norem, popřípadě převzatých mezinárodních norem a předpisů týkajících se oprávněného zájmu na bezpečnost výrobků. Příslušné certifikáty a osvědčení jsou ve fotokopiích k nahlédnutí u Prodávajícího.</w:t>
      </w:r>
    </w:p>
    <w:p w14:paraId="150FB6C7" w14:textId="621DBEA4" w:rsidR="00462296" w:rsidRPr="00DF732D" w:rsidRDefault="00462296" w:rsidP="00517081">
      <w:pPr>
        <w:pStyle w:val="Nadpis1"/>
        <w:numPr>
          <w:ilvl w:val="1"/>
          <w:numId w:val="5"/>
        </w:numPr>
        <w:spacing w:before="120" w:line="264" w:lineRule="auto"/>
        <w:ind w:left="709" w:hanging="709"/>
        <w:rPr>
          <w:rFonts w:asciiTheme="minorHAnsi" w:hAnsiTheme="minorHAnsi"/>
          <w:b w:val="0"/>
          <w:u w:val="none"/>
        </w:rPr>
      </w:pPr>
      <w:r w:rsidRPr="00DF732D">
        <w:rPr>
          <w:rFonts w:asciiTheme="minorHAnsi" w:hAnsiTheme="minorHAnsi"/>
          <w:b w:val="0"/>
          <w:u w:val="none"/>
        </w:rPr>
        <w:t>Kupujícímu bude umožněno ověření kvality materiálu zaměstnanci organizační jednotky Kupujícího, Centra techniky a diagnostiky, dále jen „CTD“, dle příslušných TPD nebo TPV. S každou dodávkou materiálu budou zaslány sjednané doklady o kvalitě dle ustanovení příslušných TPD nebo TPV.</w:t>
      </w:r>
    </w:p>
    <w:p w14:paraId="29584421" w14:textId="2BBC721F" w:rsidR="00D85C5B" w:rsidRPr="000E4F4B" w:rsidRDefault="00D85C5B" w:rsidP="00C3665D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100269A8" w14:textId="03A61B2A" w:rsidR="00836574" w:rsidRDefault="0083657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(</w:t>
      </w:r>
      <w:r w:rsidR="003A11C6">
        <w:rPr>
          <w:rFonts w:eastAsia="Times New Roman" w:cs="Times New Roman"/>
          <w:lang w:eastAsia="cs-CZ"/>
        </w:rPr>
        <w:t>221</w:t>
      </w:r>
      <w:r w:rsidR="00DF51C6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000 k</w:t>
      </w:r>
      <w:r w:rsidR="00762E36">
        <w:rPr>
          <w:rFonts w:eastAsia="Times New Roman" w:cs="Times New Roman"/>
          <w:lang w:eastAsia="cs-CZ"/>
        </w:rPr>
        <w:t>u</w:t>
      </w:r>
      <w:r>
        <w:rPr>
          <w:rFonts w:eastAsia="Times New Roman" w:cs="Times New Roman"/>
          <w:lang w:eastAsia="cs-CZ"/>
        </w:rPr>
        <w:t>s</w:t>
      </w:r>
      <w:r w:rsidR="00762E36">
        <w:rPr>
          <w:rFonts w:eastAsia="Times New Roman" w:cs="Times New Roman"/>
          <w:lang w:eastAsia="cs-CZ"/>
        </w:rPr>
        <w:t>ů</w:t>
      </w:r>
      <w:r>
        <w:rPr>
          <w:rFonts w:eastAsia="Times New Roman" w:cs="Times New Roman"/>
          <w:lang w:eastAsia="cs-CZ"/>
        </w:rPr>
        <w:t xml:space="preserve"> materiálu)</w:t>
      </w:r>
    </w:p>
    <w:p w14:paraId="2051ECE8" w14:textId="315E176C" w:rsidR="00C24C30" w:rsidRDefault="00C24C30" w:rsidP="00CA5454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3A11C6" w:rsidRPr="002426AC">
        <w:rPr>
          <w:b/>
        </w:rPr>
        <w:t>"[</w:t>
      </w:r>
      <w:r w:rsidR="003A11C6" w:rsidRPr="002426AC">
        <w:rPr>
          <w:b/>
          <w:highlight w:val="yellow"/>
        </w:rPr>
        <w:t xml:space="preserve">VLOŽÍ </w:t>
      </w:r>
      <w:r w:rsidR="003A11C6" w:rsidRPr="00982432">
        <w:rPr>
          <w:b/>
          <w:highlight w:val="yellow"/>
        </w:rPr>
        <w:t>PRODÁVAJÍCÍ</w:t>
      </w:r>
      <w:r w:rsidR="003A11C6" w:rsidRPr="002426AC">
        <w:rPr>
          <w:b/>
        </w:rPr>
        <w:t>]"</w:t>
      </w:r>
      <w:r w:rsidR="003A11C6" w:rsidRPr="002426AC">
        <w:rPr>
          <w:rFonts w:eastAsia="Times New Roman" w:cs="Times New Roman"/>
          <w:b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3BE7E4D6" w:rsidR="00F20995" w:rsidRPr="00F20995" w:rsidRDefault="00F20995" w:rsidP="00CA5454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3A11C6">
        <w:rPr>
          <w:rFonts w:eastAsia="Times New Roman" w:cs="Times New Roman"/>
          <w:lang w:eastAsia="cs-CZ"/>
        </w:rPr>
        <w:t xml:space="preserve"> </w:t>
      </w:r>
      <w:r w:rsidR="003A11C6" w:rsidRPr="00050CCD">
        <w:rPr>
          <w:bCs/>
        </w:rPr>
        <w:t>"[</w:t>
      </w:r>
      <w:r w:rsidR="003A11C6" w:rsidRPr="00050CCD">
        <w:rPr>
          <w:bCs/>
          <w:highlight w:val="yellow"/>
        </w:rPr>
        <w:t>VLOŽÍ PRODÁVAJÍCÍ</w:t>
      </w:r>
      <w:r w:rsidR="003A11C6" w:rsidRPr="00050CCD">
        <w:rPr>
          <w:bCs/>
        </w:rPr>
        <w:t>]</w:t>
      </w:r>
      <w:proofErr w:type="gramStart"/>
      <w:r w:rsidR="003A11C6" w:rsidRPr="00050CCD">
        <w:rPr>
          <w:bCs/>
        </w:rPr>
        <w:t>"</w:t>
      </w:r>
      <w:r w:rsidR="003A11C6" w:rsidRPr="002426AC">
        <w:rPr>
          <w:rFonts w:eastAsia="Times New Roman" w:cs="Times New Roman"/>
          <w:b/>
          <w:lang w:eastAsia="cs-CZ"/>
        </w:rPr>
        <w:t xml:space="preserve"> </w:t>
      </w:r>
      <w:r w:rsidRPr="00F20995">
        <w:rPr>
          <w:rFonts w:eastAsia="Times New Roman" w:cs="Times New Roman"/>
          <w:lang w:eastAsia="cs-CZ"/>
        </w:rPr>
        <w:t xml:space="preserve"> Kč</w:t>
      </w:r>
      <w:proofErr w:type="gramEnd"/>
      <w:r w:rsidRPr="00F20995">
        <w:rPr>
          <w:rFonts w:eastAsia="Times New Roman" w:cs="Times New Roman"/>
          <w:lang w:eastAsia="cs-CZ"/>
        </w:rPr>
        <w:t>.</w:t>
      </w:r>
    </w:p>
    <w:p w14:paraId="300D7483" w14:textId="15CC3E98" w:rsidR="00F20995" w:rsidRPr="00F20995" w:rsidRDefault="00F20995" w:rsidP="00CA5454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DF732D">
        <w:rPr>
          <w:rFonts w:eastAsia="Times New Roman" w:cs="Times New Roman"/>
          <w:lang w:eastAsia="cs-CZ"/>
        </w:rPr>
        <w:t xml:space="preserve"> </w:t>
      </w:r>
      <w:r w:rsidR="003A11C6" w:rsidRPr="00050CCD">
        <w:rPr>
          <w:bCs/>
        </w:rPr>
        <w:t>"[</w:t>
      </w:r>
      <w:r w:rsidR="003A11C6" w:rsidRPr="00050CCD">
        <w:rPr>
          <w:bCs/>
          <w:highlight w:val="yellow"/>
        </w:rPr>
        <w:t>VLOŽÍ PRODÁVAJÍCÍ</w:t>
      </w:r>
      <w:r w:rsidR="003A11C6" w:rsidRPr="00050CCD">
        <w:rPr>
          <w:bCs/>
        </w:rPr>
        <w:t>]"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0645FE2" w14:textId="7FD87211" w:rsidR="00DF732D" w:rsidRPr="00DF732D" w:rsidRDefault="00DF732D" w:rsidP="00E15ABA">
      <w:pPr>
        <w:pStyle w:val="Odstavecseseznamem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DF732D">
        <w:rPr>
          <w:rFonts w:eastAsia="Times New Roman" w:cs="Times New Roman"/>
          <w:lang w:eastAsia="cs-CZ"/>
        </w:rPr>
        <w:t xml:space="preserve">Cena za 1 kus </w:t>
      </w:r>
      <w:r w:rsidR="00762E36">
        <w:rPr>
          <w:rFonts w:eastAsia="Times New Roman" w:cs="Times New Roman"/>
          <w:lang w:eastAsia="cs-CZ"/>
        </w:rPr>
        <w:t xml:space="preserve">materiálu činí </w:t>
      </w:r>
      <w:r w:rsidR="00FA21D9">
        <w:rPr>
          <w:rFonts w:eastAsia="Times New Roman" w:cs="Times New Roman"/>
          <w:lang w:eastAsia="cs-CZ"/>
        </w:rPr>
        <w:t xml:space="preserve">    </w:t>
      </w:r>
      <w:r w:rsidR="003C7808" w:rsidRPr="00050CCD">
        <w:rPr>
          <w:bCs/>
        </w:rPr>
        <w:t>"[</w:t>
      </w:r>
      <w:proofErr w:type="gramStart"/>
      <w:r w:rsidR="003C7808" w:rsidRPr="00050CCD">
        <w:rPr>
          <w:bCs/>
          <w:highlight w:val="yellow"/>
        </w:rPr>
        <w:t>VLOŽÍ</w:t>
      </w:r>
      <w:proofErr w:type="gramEnd"/>
      <w:r w:rsidR="003C7808" w:rsidRPr="00050CCD">
        <w:rPr>
          <w:bCs/>
          <w:highlight w:val="yellow"/>
        </w:rPr>
        <w:t xml:space="preserve"> PRODÁVAJÍCÍ</w:t>
      </w:r>
      <w:r w:rsidR="003C7808" w:rsidRPr="00050CCD">
        <w:rPr>
          <w:bCs/>
        </w:rPr>
        <w:t>]"</w:t>
      </w:r>
      <w:r w:rsidRPr="00DF732D">
        <w:rPr>
          <w:rFonts w:eastAsia="Times New Roman" w:cs="Times New Roman"/>
          <w:lang w:eastAsia="cs-CZ"/>
        </w:rPr>
        <w:t xml:space="preserve"> Kč</w:t>
      </w:r>
      <w:r w:rsidR="00762E36">
        <w:rPr>
          <w:rFonts w:eastAsia="Times New Roman" w:cs="Times New Roman"/>
          <w:lang w:eastAsia="cs-CZ"/>
        </w:rPr>
        <w:t xml:space="preserve"> bez DPH</w:t>
      </w:r>
      <w:r w:rsidRPr="00DF732D">
        <w:rPr>
          <w:rFonts w:eastAsia="Times New Roman" w:cs="Times New Roman"/>
          <w:lang w:eastAsia="cs-CZ"/>
        </w:rPr>
        <w:t>.</w:t>
      </w:r>
    </w:p>
    <w:p w14:paraId="47A205F7" w14:textId="5B664E90" w:rsidR="002B20CA" w:rsidRPr="00DF732D" w:rsidRDefault="007F5EC4" w:rsidP="00C71C07">
      <w:pPr>
        <w:pStyle w:val="Odstavecseseznamem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4150F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4150F3">
        <w:rPr>
          <w:rFonts w:eastAsia="Times New Roman" w:cs="Times New Roman"/>
          <w:lang w:eastAsia="cs-CZ"/>
        </w:rPr>
        <w:t>dodacího listu</w:t>
      </w:r>
      <w:r w:rsidR="00DC4D99" w:rsidRPr="004150F3">
        <w:rPr>
          <w:rFonts w:eastAsia="Times New Roman" w:cs="Times New Roman"/>
          <w:lang w:eastAsia="cs-CZ"/>
        </w:rPr>
        <w:t>, a to vždy ke každé provedené (dílčí) dodávce materiálu do příslušného střediska svrškového materiálu</w:t>
      </w:r>
      <w:r w:rsidR="002B20CA" w:rsidRPr="004150F3">
        <w:rPr>
          <w:rFonts w:eastAsia="Times New Roman" w:cs="Times New Roman"/>
          <w:lang w:eastAsia="cs-CZ"/>
        </w:rPr>
        <w:t>.</w:t>
      </w:r>
      <w:r w:rsidR="004726B6">
        <w:rPr>
          <w:rFonts w:eastAsia="Times New Roman" w:cs="Times New Roman"/>
          <w:lang w:eastAsia="cs-CZ"/>
        </w:rPr>
        <w:t xml:space="preserve"> Za účelem provedení fakturace každé (dílčí) dodávky materiálu</w:t>
      </w:r>
      <w:r w:rsidR="004726B6" w:rsidRPr="004726B6">
        <w:rPr>
          <w:rFonts w:eastAsia="Times New Roman" w:cs="Times New Roman"/>
          <w:lang w:eastAsia="cs-CZ"/>
        </w:rPr>
        <w:t xml:space="preserve"> </w:t>
      </w:r>
      <w:r w:rsidR="004726B6">
        <w:rPr>
          <w:rFonts w:eastAsia="Times New Roman" w:cs="Times New Roman"/>
          <w:lang w:eastAsia="cs-CZ"/>
        </w:rPr>
        <w:t xml:space="preserve">do příslušného střediska svrškového materiálu bude </w:t>
      </w:r>
      <w:r w:rsidR="00C73A21">
        <w:rPr>
          <w:rFonts w:eastAsia="Times New Roman" w:cs="Times New Roman"/>
          <w:lang w:eastAsia="cs-CZ"/>
        </w:rPr>
        <w:t xml:space="preserve">kupní cena </w:t>
      </w:r>
      <w:r w:rsidR="004726B6">
        <w:rPr>
          <w:rFonts w:eastAsia="Times New Roman" w:cs="Times New Roman"/>
          <w:lang w:eastAsia="cs-CZ"/>
        </w:rPr>
        <w:t xml:space="preserve">určena </w:t>
      </w:r>
      <w:r w:rsidR="00C73A21">
        <w:rPr>
          <w:rFonts w:eastAsia="Times New Roman" w:cs="Times New Roman"/>
          <w:lang w:eastAsia="cs-CZ"/>
        </w:rPr>
        <w:t xml:space="preserve">násobením </w:t>
      </w:r>
      <w:r w:rsidR="004726B6">
        <w:rPr>
          <w:rFonts w:eastAsia="Times New Roman" w:cs="Times New Roman"/>
          <w:lang w:eastAsia="cs-CZ"/>
        </w:rPr>
        <w:t>počt</w:t>
      </w:r>
      <w:r w:rsidR="00C73A21">
        <w:rPr>
          <w:rFonts w:eastAsia="Times New Roman" w:cs="Times New Roman"/>
          <w:lang w:eastAsia="cs-CZ"/>
        </w:rPr>
        <w:t>u</w:t>
      </w:r>
      <w:r w:rsidR="004726B6">
        <w:rPr>
          <w:rFonts w:eastAsia="Times New Roman" w:cs="Times New Roman"/>
          <w:lang w:eastAsia="cs-CZ"/>
        </w:rPr>
        <w:t xml:space="preserve"> dodaných kusů materiálu v rámci každé (dílčí) dodávky </w:t>
      </w:r>
      <w:r w:rsidR="00C73A21">
        <w:rPr>
          <w:rFonts w:eastAsia="Times New Roman" w:cs="Times New Roman"/>
          <w:lang w:eastAsia="cs-CZ"/>
        </w:rPr>
        <w:t xml:space="preserve">do příslušného střediska svrškového materiálu </w:t>
      </w:r>
      <w:r w:rsidR="004726B6">
        <w:rPr>
          <w:rFonts w:eastAsia="Times New Roman" w:cs="Times New Roman"/>
          <w:lang w:eastAsia="cs-CZ"/>
        </w:rPr>
        <w:t xml:space="preserve">a jednotkovou cenou </w:t>
      </w:r>
      <w:r w:rsidR="00C73A21">
        <w:rPr>
          <w:rFonts w:eastAsia="Times New Roman" w:cs="Times New Roman"/>
          <w:lang w:eastAsia="cs-CZ"/>
        </w:rPr>
        <w:t>(cena za 1</w:t>
      </w:r>
      <w:r w:rsidR="00C71C07">
        <w:rPr>
          <w:rFonts w:eastAsia="Times New Roman" w:cs="Times New Roman"/>
          <w:lang w:eastAsia="cs-CZ"/>
        </w:rPr>
        <w:t> </w:t>
      </w:r>
      <w:r w:rsidR="00C73A21">
        <w:rPr>
          <w:rFonts w:eastAsia="Times New Roman" w:cs="Times New Roman"/>
          <w:lang w:eastAsia="cs-CZ"/>
        </w:rPr>
        <w:t xml:space="preserve">kus materiálu) </w:t>
      </w:r>
      <w:r w:rsidR="004726B6">
        <w:rPr>
          <w:rFonts w:eastAsia="Times New Roman" w:cs="Times New Roman"/>
          <w:lang w:eastAsia="cs-CZ"/>
        </w:rPr>
        <w:t xml:space="preserve">uvedenou v čl. 2.2. této Smlouvy. </w:t>
      </w:r>
    </w:p>
    <w:p w14:paraId="70884A3F" w14:textId="77777777" w:rsidR="00D85C5B" w:rsidRPr="00DF732D" w:rsidRDefault="00D85C5B" w:rsidP="00C3665D">
      <w:pPr>
        <w:pStyle w:val="Nadpis1"/>
        <w:rPr>
          <w:rFonts w:eastAsia="Times New Roman"/>
          <w:lang w:eastAsia="cs-CZ"/>
        </w:rPr>
      </w:pPr>
      <w:r w:rsidRPr="00DF732D">
        <w:rPr>
          <w:rFonts w:eastAsia="Times New Roman"/>
          <w:lang w:eastAsia="cs-CZ"/>
        </w:rPr>
        <w:t>Místo a doba dodání</w:t>
      </w:r>
    </w:p>
    <w:p w14:paraId="2DC3B937" w14:textId="166CC6D8" w:rsidR="00C3665D" w:rsidRPr="003A6F18" w:rsidRDefault="00C3665D" w:rsidP="00CA5454">
      <w:pPr>
        <w:pStyle w:val="acnormalbulleted"/>
      </w:pPr>
      <w:r w:rsidRPr="003A6F18">
        <w:t>Míst</w:t>
      </w:r>
      <w:r w:rsidR="00DF51C6">
        <w:t>o</w:t>
      </w:r>
      <w:r w:rsidRPr="003A6F18">
        <w:t xml:space="preserve"> </w:t>
      </w:r>
      <w:r w:rsidR="007402A2">
        <w:t>dodá</w:t>
      </w:r>
      <w:r w:rsidRPr="003A6F18">
        <w:t>ní: středisk</w:t>
      </w:r>
      <w:r w:rsidR="004150F3">
        <w:t>o</w:t>
      </w:r>
      <w:r w:rsidRPr="003A6F18">
        <w:t xml:space="preserve"> svrškového materiálu na území České republiky, a to:</w:t>
      </w:r>
    </w:p>
    <w:p w14:paraId="05C0A5A6" w14:textId="5BF5BA1E" w:rsidR="00C3665D" w:rsidRPr="003A6F18" w:rsidRDefault="00DF51C6" w:rsidP="00C3665D">
      <w:pPr>
        <w:pStyle w:val="slovanseznam3"/>
        <w:numPr>
          <w:ilvl w:val="1"/>
          <w:numId w:val="21"/>
        </w:numPr>
        <w:spacing w:after="120" w:line="240" w:lineRule="auto"/>
        <w:contextualSpacing w:val="0"/>
        <w:rPr>
          <w:rFonts w:ascii="Verdana" w:eastAsia="Calibri" w:hAnsi="Verdana" w:cstheme="minorHAnsi"/>
        </w:rPr>
      </w:pPr>
      <w:r>
        <w:rPr>
          <w:rFonts w:ascii="Verdana" w:eastAsia="Calibri" w:hAnsi="Verdana" w:cstheme="minorHAnsi"/>
        </w:rPr>
        <w:t xml:space="preserve">Oblastní ředitelství </w:t>
      </w:r>
      <w:r w:rsidR="00C3665D" w:rsidRPr="003A6F18">
        <w:rPr>
          <w:rFonts w:ascii="Verdana" w:eastAsia="Calibri" w:hAnsi="Verdana" w:cstheme="minorHAnsi"/>
        </w:rPr>
        <w:t>Hradec Králové, Středisko svrškového materiálu Hradec Králové, ul. Na Důchodě 719, 501 02 Hradec Králové</w:t>
      </w:r>
      <w:r w:rsidR="00BC7058">
        <w:rPr>
          <w:rFonts w:ascii="Verdana" w:eastAsia="Calibri" w:hAnsi="Verdana" w:cstheme="minorHAnsi"/>
        </w:rPr>
        <w:t xml:space="preserve">: </w:t>
      </w:r>
      <w:r w:rsidR="00107F7F">
        <w:rPr>
          <w:rFonts w:ascii="Verdana" w:eastAsia="Calibri" w:hAnsi="Verdana" w:cstheme="minorHAnsi"/>
        </w:rPr>
        <w:t>v</w:t>
      </w:r>
      <w:r w:rsidR="00CC4C29">
        <w:rPr>
          <w:rFonts w:ascii="Verdana" w:eastAsia="Calibri" w:hAnsi="Verdana" w:cstheme="minorHAnsi"/>
        </w:rPr>
        <w:t xml:space="preserve"> celkovém</w:t>
      </w:r>
      <w:r w:rsidR="00107F7F">
        <w:rPr>
          <w:rFonts w:ascii="Verdana" w:eastAsia="Calibri" w:hAnsi="Verdana" w:cstheme="minorHAnsi"/>
        </w:rPr>
        <w:t xml:space="preserve"> počtu </w:t>
      </w:r>
      <w:r w:rsidR="00BC7058" w:rsidRPr="00BC7058">
        <w:rPr>
          <w:rFonts w:ascii="Verdana" w:eastAsia="Calibri" w:hAnsi="Verdana" w:cstheme="minorHAnsi"/>
          <w:b/>
        </w:rPr>
        <w:t>2</w:t>
      </w:r>
      <w:r w:rsidR="004150F3">
        <w:rPr>
          <w:rFonts w:ascii="Verdana" w:eastAsia="Calibri" w:hAnsi="Verdana" w:cstheme="minorHAnsi"/>
          <w:b/>
        </w:rPr>
        <w:t>21</w:t>
      </w:r>
      <w:r w:rsidR="00BC7058" w:rsidRPr="00BC7058">
        <w:rPr>
          <w:rFonts w:ascii="Verdana" w:eastAsia="Calibri" w:hAnsi="Verdana" w:cstheme="minorHAnsi"/>
          <w:b/>
        </w:rPr>
        <w:t> 000 k</w:t>
      </w:r>
      <w:r w:rsidR="00107F7F">
        <w:rPr>
          <w:rFonts w:ascii="Verdana" w:eastAsia="Calibri" w:hAnsi="Verdana" w:cstheme="minorHAnsi"/>
          <w:b/>
        </w:rPr>
        <w:t>u</w:t>
      </w:r>
      <w:r w:rsidR="00BC7058" w:rsidRPr="00BC7058">
        <w:rPr>
          <w:rFonts w:ascii="Verdana" w:eastAsia="Calibri" w:hAnsi="Verdana" w:cstheme="minorHAnsi"/>
          <w:b/>
        </w:rPr>
        <w:t>s</w:t>
      </w:r>
      <w:r w:rsidR="00107F7F">
        <w:rPr>
          <w:rFonts w:ascii="Verdana" w:eastAsia="Calibri" w:hAnsi="Verdana" w:cstheme="minorHAnsi"/>
          <w:b/>
        </w:rPr>
        <w:t>ů</w:t>
      </w:r>
      <w:r w:rsidR="00BC7058">
        <w:rPr>
          <w:rFonts w:ascii="Verdana" w:eastAsia="Calibri" w:hAnsi="Verdana" w:cstheme="minorHAnsi"/>
        </w:rPr>
        <w:t>.</w:t>
      </w:r>
    </w:p>
    <w:p w14:paraId="6463FD3B" w14:textId="77777777" w:rsidR="000E75C0" w:rsidRDefault="00D85C5B" w:rsidP="00CA5454">
      <w:pPr>
        <w:pStyle w:val="acnormalbulleted"/>
        <w:rPr>
          <w:lang w:eastAsia="cs-CZ"/>
        </w:rPr>
      </w:pPr>
      <w:r w:rsidRPr="007402A2">
        <w:t>Předmět</w:t>
      </w:r>
      <w:r w:rsidRPr="007402A2">
        <w:rPr>
          <w:lang w:eastAsia="cs-CZ"/>
        </w:rPr>
        <w:t xml:space="preserve"> koupě bude dodán </w:t>
      </w:r>
      <w:r w:rsidRPr="00BC7058">
        <w:rPr>
          <w:b/>
          <w:lang w:eastAsia="cs-CZ"/>
        </w:rPr>
        <w:t xml:space="preserve">do </w:t>
      </w:r>
      <w:r w:rsidR="007402A2" w:rsidRPr="00BC7058">
        <w:rPr>
          <w:b/>
          <w:lang w:eastAsia="cs-CZ"/>
        </w:rPr>
        <w:t>14 dnů</w:t>
      </w:r>
      <w:r w:rsidR="007402A2" w:rsidRPr="007402A2">
        <w:rPr>
          <w:lang w:eastAsia="cs-CZ"/>
        </w:rPr>
        <w:t xml:space="preserve"> od </w:t>
      </w:r>
      <w:r w:rsidR="00107F7F">
        <w:rPr>
          <w:lang w:eastAsia="cs-CZ"/>
        </w:rPr>
        <w:t>nabytí účinnosti této Smlouvy</w:t>
      </w:r>
      <w:r w:rsidR="007402A2" w:rsidRPr="007402A2">
        <w:rPr>
          <w:lang w:eastAsia="cs-CZ"/>
        </w:rPr>
        <w:t>.</w:t>
      </w:r>
      <w:r w:rsidR="00DC4D99">
        <w:rPr>
          <w:lang w:eastAsia="cs-CZ"/>
        </w:rPr>
        <w:t xml:space="preserve"> Prodávající je oprávněn rozdělit dodávku materiálu do výše uveden</w:t>
      </w:r>
      <w:r w:rsidR="004150F3">
        <w:rPr>
          <w:lang w:eastAsia="cs-CZ"/>
        </w:rPr>
        <w:t>ého</w:t>
      </w:r>
      <w:r w:rsidR="00DC4D99">
        <w:rPr>
          <w:lang w:eastAsia="cs-CZ"/>
        </w:rPr>
        <w:t xml:space="preserve"> svrškov</w:t>
      </w:r>
      <w:r w:rsidR="004150F3">
        <w:rPr>
          <w:lang w:eastAsia="cs-CZ"/>
        </w:rPr>
        <w:t>ého</w:t>
      </w:r>
      <w:r w:rsidR="00DC4D99">
        <w:rPr>
          <w:lang w:eastAsia="cs-CZ"/>
        </w:rPr>
        <w:t xml:space="preserve"> středi</w:t>
      </w:r>
      <w:r w:rsidR="004150F3">
        <w:rPr>
          <w:lang w:eastAsia="cs-CZ"/>
        </w:rPr>
        <w:t>ska</w:t>
      </w:r>
      <w:r w:rsidR="00DC4D99">
        <w:rPr>
          <w:lang w:eastAsia="cs-CZ"/>
        </w:rPr>
        <w:t xml:space="preserve"> materiálu do vícero dílčích dodávek</w:t>
      </w:r>
      <w:r w:rsidR="001D596A">
        <w:rPr>
          <w:lang w:eastAsia="cs-CZ"/>
        </w:rPr>
        <w:t>, Kupující neurčuje minimální množství každé takové dílčí dodávky</w:t>
      </w:r>
      <w:r w:rsidR="00DC4D99">
        <w:rPr>
          <w:lang w:eastAsia="cs-CZ"/>
        </w:rPr>
        <w:t>.</w:t>
      </w:r>
      <w:r w:rsidR="001D596A">
        <w:rPr>
          <w:lang w:eastAsia="cs-CZ"/>
        </w:rPr>
        <w:t xml:space="preserve"> Prodávající je však povinen ve výše uvedené lhůtě dodat veškeré požadované množství materiálu uvedené v čl. 3.1. této Smlouvy.</w:t>
      </w:r>
    </w:p>
    <w:p w14:paraId="5115D35D" w14:textId="43746C1A" w:rsidR="00D85C5B" w:rsidRPr="007402A2" w:rsidRDefault="001D596A" w:rsidP="000E75C0">
      <w:pPr>
        <w:pStyle w:val="acnormalbulleted"/>
        <w:numPr>
          <w:ilvl w:val="0"/>
          <w:numId w:val="0"/>
        </w:numPr>
        <w:ind w:left="1080"/>
        <w:rPr>
          <w:lang w:eastAsia="cs-CZ"/>
        </w:rPr>
      </w:pPr>
      <w:r>
        <w:rPr>
          <w:lang w:eastAsia="cs-CZ"/>
        </w:rPr>
        <w:t xml:space="preserve"> </w:t>
      </w:r>
    </w:p>
    <w:p w14:paraId="4D5A70EC" w14:textId="77777777" w:rsidR="00D85C5B" w:rsidRPr="00960EB1" w:rsidRDefault="00D85C5B" w:rsidP="00C3665D">
      <w:pPr>
        <w:pStyle w:val="Nadpis1"/>
        <w:rPr>
          <w:rFonts w:eastAsia="Times New Roman"/>
          <w:lang w:eastAsia="cs-CZ"/>
        </w:rPr>
      </w:pPr>
      <w:r w:rsidRPr="00960EB1">
        <w:rPr>
          <w:rFonts w:eastAsia="Times New Roman"/>
          <w:lang w:eastAsia="cs-CZ"/>
        </w:rPr>
        <w:lastRenderedPageBreak/>
        <w:t>Přeprava předmětu koupě</w:t>
      </w:r>
    </w:p>
    <w:p w14:paraId="21AAFB48" w14:textId="77777777" w:rsidR="00D85C5B" w:rsidRPr="00960EB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960EB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960EB1" w:rsidRDefault="00D85C5B" w:rsidP="00C3665D">
      <w:pPr>
        <w:pStyle w:val="Nadpis1"/>
        <w:rPr>
          <w:rFonts w:eastAsia="Times New Roman"/>
          <w:lang w:eastAsia="cs-CZ"/>
        </w:rPr>
      </w:pPr>
      <w:r w:rsidRPr="00960EB1">
        <w:rPr>
          <w:rFonts w:eastAsia="Times New Roman"/>
          <w:lang w:eastAsia="cs-CZ"/>
        </w:rPr>
        <w:t>Listiny (doklady)</w:t>
      </w:r>
    </w:p>
    <w:p w14:paraId="249D087E" w14:textId="77777777" w:rsidR="00D85C5B" w:rsidRPr="00960EB1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32850840" w:rsidR="00D85C5B" w:rsidRPr="00960EB1" w:rsidRDefault="00960EB1" w:rsidP="00960EB1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dodací listy</w:t>
      </w:r>
      <w:r w:rsidR="00D85C5B" w:rsidRPr="00960EB1">
        <w:rPr>
          <w:rFonts w:eastAsia="Times New Roman" w:cs="Times New Roman"/>
          <w:lang w:eastAsia="cs-CZ"/>
        </w:rPr>
        <w:t xml:space="preserve">, </w:t>
      </w:r>
    </w:p>
    <w:p w14:paraId="247584B4" w14:textId="52FFAAAC" w:rsidR="00D85C5B" w:rsidRPr="00960EB1" w:rsidRDefault="00960EB1" w:rsidP="00960EB1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>dokumenty dle ustanovení příslušných TPD nebo TPV</w:t>
      </w:r>
      <w:r w:rsidR="00D85C5B" w:rsidRPr="00960EB1">
        <w:rPr>
          <w:rFonts w:eastAsia="Times New Roman" w:cs="Times New Roman"/>
          <w:lang w:eastAsia="cs-CZ"/>
        </w:rPr>
        <w:t>.</w:t>
      </w:r>
    </w:p>
    <w:p w14:paraId="4B70C07C" w14:textId="77777777" w:rsidR="00D85C5B" w:rsidRPr="00960EB1" w:rsidRDefault="00D85C5B" w:rsidP="00C3665D">
      <w:pPr>
        <w:pStyle w:val="Nadpis1"/>
        <w:rPr>
          <w:rFonts w:eastAsia="Times New Roman"/>
          <w:lang w:eastAsia="cs-CZ"/>
        </w:rPr>
      </w:pPr>
      <w:r w:rsidRPr="00960EB1">
        <w:rPr>
          <w:rFonts w:eastAsia="Times New Roman"/>
          <w:lang w:eastAsia="cs-CZ"/>
        </w:rPr>
        <w:t>Záruka</w:t>
      </w:r>
    </w:p>
    <w:p w14:paraId="6AF415A5" w14:textId="23DC1997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0EB1">
        <w:rPr>
          <w:rFonts w:eastAsia="Times New Roman" w:cs="Times New Roman"/>
          <w:lang w:eastAsia="cs-CZ"/>
        </w:rPr>
        <w:t xml:space="preserve">Záruční doba </w:t>
      </w:r>
      <w:r w:rsidR="00960EB1" w:rsidRPr="00960EB1">
        <w:rPr>
          <w:rFonts w:eastAsia="Times New Roman" w:cs="Times New Roman"/>
          <w:lang w:eastAsia="cs-CZ"/>
        </w:rPr>
        <w:t xml:space="preserve">za kvalitu předmětu </w:t>
      </w:r>
      <w:r w:rsidR="00054EFA">
        <w:rPr>
          <w:rFonts w:eastAsia="Times New Roman" w:cs="Times New Roman"/>
          <w:lang w:eastAsia="cs-CZ"/>
        </w:rPr>
        <w:t>této S</w:t>
      </w:r>
      <w:r w:rsidR="00960EB1" w:rsidRPr="00960EB1">
        <w:rPr>
          <w:rFonts w:eastAsia="Times New Roman" w:cs="Times New Roman"/>
          <w:lang w:eastAsia="cs-CZ"/>
        </w:rPr>
        <w:t>mlouvy se řídí platnými TPD nebo TPV, které mají přednost před zákonem č. 89/2012 Sb., občanský zákoník, ve znění pozdějších</w:t>
      </w:r>
      <w:r w:rsidR="00960EB1">
        <w:rPr>
          <w:rFonts w:eastAsia="Times New Roman" w:cs="Times New Roman"/>
          <w:lang w:eastAsia="cs-CZ"/>
        </w:rPr>
        <w:t xml:space="preserve"> předpisů</w:t>
      </w:r>
      <w:r w:rsidRPr="001C4874">
        <w:rPr>
          <w:rFonts w:eastAsia="Times New Roman" w:cs="Times New Roman"/>
          <w:lang w:eastAsia="cs-CZ"/>
        </w:rPr>
        <w:t>.</w:t>
      </w:r>
    </w:p>
    <w:p w14:paraId="2097C982" w14:textId="77777777" w:rsidR="00A33BB9" w:rsidRDefault="00A33BB9" w:rsidP="00C3665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23715C53" w14:textId="3990B10C" w:rsidR="00F91C43" w:rsidRPr="004150F3" w:rsidRDefault="00A33BB9" w:rsidP="00F91C4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7B5A1F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7B5A1F">
        <w:rPr>
          <w:rFonts w:eastAsia="Times New Roman" w:cs="Times New Roman"/>
          <w:b w:val="0"/>
          <w:u w:val="none"/>
          <w:lang w:eastAsia="cs-CZ"/>
        </w:rPr>
        <w:t>Koupě</w:t>
      </w:r>
      <w:r w:rsidRPr="007B5A1F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7B5A1F" w:rsidRPr="007B5A1F">
        <w:rPr>
          <w:rFonts w:eastAsia="Times New Roman" w:cs="Times New Roman"/>
          <w:b w:val="0"/>
          <w:u w:val="none"/>
          <w:lang w:eastAsia="cs-CZ"/>
        </w:rPr>
        <w:t>. 2</w:t>
      </w:r>
      <w:r w:rsidRPr="007B5A1F">
        <w:rPr>
          <w:rFonts w:eastAsia="Times New Roman" w:cs="Times New Roman"/>
          <w:b w:val="0"/>
          <w:u w:val="none"/>
          <w:lang w:eastAsia="cs-CZ"/>
        </w:rPr>
        <w:t xml:space="preserve"> této Smlouvy. </w:t>
      </w:r>
    </w:p>
    <w:p w14:paraId="3BD40581" w14:textId="77777777" w:rsidR="00D85C5B" w:rsidRPr="000C5DA0" w:rsidRDefault="00D85C5B" w:rsidP="00C3665D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517081">
      <w:pPr>
        <w:pStyle w:val="Nadpis1"/>
        <w:numPr>
          <w:ilvl w:val="1"/>
          <w:numId w:val="5"/>
        </w:numPr>
        <w:spacing w:before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17081" w:rsidRDefault="00D85C5B" w:rsidP="003D638E">
      <w:pPr>
        <w:pStyle w:val="Nadpis1"/>
        <w:numPr>
          <w:ilvl w:val="1"/>
          <w:numId w:val="5"/>
        </w:numPr>
        <w:spacing w:before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17081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517081">
        <w:rPr>
          <w:rFonts w:eastAsia="Times New Roman" w:cs="Times New Roman"/>
          <w:b w:val="0"/>
          <w:u w:val="none"/>
          <w:lang w:eastAsia="cs-CZ"/>
        </w:rPr>
        <w:t>Sml</w:t>
      </w:r>
      <w:r w:rsidRPr="00517081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61756572" w:rsidR="00D85C5B" w:rsidRPr="007E50EB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7A701B">
        <w:rPr>
          <w:rFonts w:eastAsia="Times New Roman" w:cs="Times New Roman"/>
          <w:lang w:eastAsia="cs-CZ"/>
        </w:rPr>
        <w:t xml:space="preserve">za Kupujícího </w:t>
      </w:r>
      <w:r w:rsidR="007E50EB" w:rsidRPr="007A701B">
        <w:rPr>
          <w:rFonts w:eastAsia="Times New Roman" w:cs="Times New Roman"/>
          <w:lang w:eastAsia="cs-CZ"/>
        </w:rPr>
        <w:t>Eva Linhartová</w:t>
      </w:r>
      <w:r w:rsidRPr="007A701B">
        <w:rPr>
          <w:rFonts w:eastAsia="Times New Roman" w:cs="Times New Roman"/>
          <w:lang w:eastAsia="cs-CZ"/>
        </w:rPr>
        <w:t xml:space="preserve">, tel. </w:t>
      </w:r>
      <w:r w:rsidR="007E50EB" w:rsidRPr="007A701B">
        <w:rPr>
          <w:rFonts w:eastAsia="Times New Roman" w:cs="Times New Roman"/>
          <w:lang w:eastAsia="cs-CZ"/>
        </w:rPr>
        <w:t>702 018 618</w:t>
      </w:r>
      <w:r w:rsidRPr="007A701B">
        <w:rPr>
          <w:rFonts w:eastAsia="Times New Roman" w:cs="Times New Roman"/>
          <w:lang w:eastAsia="cs-CZ"/>
        </w:rPr>
        <w:t xml:space="preserve">, email </w:t>
      </w:r>
      <w:r w:rsidR="007E50EB" w:rsidRPr="007A701B">
        <w:rPr>
          <w:rFonts w:eastAsia="Times New Roman" w:cs="Times New Roman"/>
          <w:lang w:eastAsia="cs-CZ"/>
        </w:rPr>
        <w:t>LinhartovaE@spravazeleznic.cz</w:t>
      </w:r>
      <w:r w:rsidRPr="007A701B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7E50EB">
        <w:rPr>
          <w:rFonts w:eastAsia="Times New Roman" w:cs="Times New Roman"/>
          <w:highlight w:val="yellow"/>
          <w:lang w:eastAsia="cs-CZ"/>
        </w:rPr>
        <w:t>za Prodávajícího p. ………………</w:t>
      </w:r>
      <w:proofErr w:type="gramStart"/>
      <w:r w:rsidRPr="007E50EB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Pr="007E50EB">
        <w:rPr>
          <w:rFonts w:eastAsia="Times New Roman" w:cs="Times New Roman"/>
          <w:highlight w:val="yellow"/>
          <w:lang w:eastAsia="cs-CZ"/>
        </w:rPr>
        <w:t xml:space="preserve"> , tel. …………………. , email …………………….. .</w:t>
      </w:r>
    </w:p>
    <w:p w14:paraId="6C470B75" w14:textId="31B4D548" w:rsidR="00D85C5B" w:rsidRPr="009146AF" w:rsidRDefault="008B1447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Default="000C5DA0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2D350492" w14:textId="41AD8C5B" w:rsidR="004150F3" w:rsidRPr="00B951CC" w:rsidRDefault="004150F3" w:rsidP="004150F3">
      <w:pPr>
        <w:pStyle w:val="Nadpis1"/>
        <w:numPr>
          <w:ilvl w:val="1"/>
          <w:numId w:val="5"/>
        </w:numPr>
        <w:spacing w:before="120" w:line="240" w:lineRule="auto"/>
        <w:ind w:left="709" w:hanging="709"/>
        <w:jc w:val="both"/>
        <w:rPr>
          <w:b w:val="0"/>
          <w:bCs/>
          <w:lang w:eastAsia="cs-CZ"/>
        </w:rPr>
      </w:pPr>
      <w:r w:rsidRPr="006B0CBC">
        <w:rPr>
          <w:b w:val="0"/>
          <w:bCs/>
          <w:iCs/>
          <w:u w:val="none"/>
        </w:rPr>
        <w:t xml:space="preserve">Smluvní strany </w:t>
      </w:r>
      <w:r w:rsidRPr="006B0CBC">
        <w:rPr>
          <w:b w:val="0"/>
          <w:bCs/>
          <w:u w:val="none"/>
        </w:rPr>
        <w:t>stvrzují</w:t>
      </w:r>
      <w:r w:rsidRPr="006B0CBC">
        <w:rPr>
          <w:b w:val="0"/>
          <w:bCs/>
          <w:iCs/>
          <w:u w:val="none"/>
        </w:rPr>
        <w:t xml:space="preserve">, že při uzavírání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6B0CBC">
        <w:rPr>
          <w:b w:val="0"/>
          <w:bCs/>
          <w:iCs/>
          <w:u w:val="none"/>
        </w:rPr>
        <w:t>compliance</w:t>
      </w:r>
      <w:proofErr w:type="spellEnd"/>
      <w:r w:rsidRPr="006B0CBC">
        <w:rPr>
          <w:b w:val="0"/>
          <w:bCs/>
          <w:iCs/>
          <w:u w:val="none"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 w:rsidRPr="006B0CBC">
        <w:rPr>
          <w:b w:val="0"/>
          <w:bCs/>
          <w:u w:val="none"/>
        </w:rPr>
        <w:t>Správa železnic, státní organizace, má výše uvedené dokumenty k dispozici na webových stránkách:</w:t>
      </w:r>
      <w:r w:rsidRPr="006B0CBC">
        <w:rPr>
          <w:b w:val="0"/>
          <w:bCs/>
        </w:rPr>
        <w:t xml:space="preserve"> </w:t>
      </w:r>
      <w:hyperlink r:id="rId11" w:history="1">
        <w:r w:rsidRPr="006B0CBC">
          <w:rPr>
            <w:rStyle w:val="Hypertextovodkaz"/>
            <w:b w:val="0"/>
            <w:bCs/>
          </w:rPr>
          <w:t>https://www.spravazeleznic.cz/o-nas/nazadouci-jednani-a-boj-s-korupci</w:t>
        </w:r>
      </w:hyperlink>
    </w:p>
    <w:p w14:paraId="58AA56B5" w14:textId="1B4F4971" w:rsidR="00DC41AD" w:rsidRDefault="00A453A2" w:rsidP="00C3665D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113ED116" w:rsidR="00A453A2" w:rsidRPr="00483C85" w:rsidRDefault="00A453A2" w:rsidP="00517081">
      <w:pPr>
        <w:pStyle w:val="Nadpis1"/>
        <w:numPr>
          <w:ilvl w:val="1"/>
          <w:numId w:val="5"/>
        </w:numPr>
        <w:spacing w:before="12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 není obchodní společností, ve které veřejný funkcionář uvedený v</w:t>
      </w:r>
      <w:r w:rsidR="003631B0">
        <w:rPr>
          <w:b w:val="0"/>
          <w:u w:val="none"/>
          <w:lang w:eastAsia="cs-CZ"/>
        </w:rPr>
        <w:t> 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517081">
      <w:pPr>
        <w:pStyle w:val="Nadpis1"/>
        <w:numPr>
          <w:ilvl w:val="1"/>
          <w:numId w:val="5"/>
        </w:numPr>
        <w:spacing w:before="12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3B65EFC" w:rsidR="00BD32CD" w:rsidRPr="00483C85" w:rsidRDefault="00B25AED" w:rsidP="00517081">
      <w:pPr>
        <w:pStyle w:val="Nadpis1"/>
        <w:numPr>
          <w:ilvl w:val="0"/>
          <w:numId w:val="12"/>
        </w:numPr>
        <w:spacing w:before="12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</w:t>
      </w:r>
      <w:r w:rsidR="003631B0">
        <w:rPr>
          <w:b w:val="0"/>
          <w:u w:val="none"/>
          <w:lang w:eastAsia="cs-CZ"/>
        </w:rPr>
        <w:t> </w:t>
      </w:r>
      <w:r w:rsidRPr="00483C85">
        <w:rPr>
          <w:b w:val="0"/>
          <w:u w:val="none"/>
          <w:lang w:eastAsia="cs-CZ"/>
        </w:rPr>
        <w:t>omezujících opatřeních vzhledem k činnostem Ruska destabilizujícím situaci na</w:t>
      </w:r>
      <w:r w:rsidR="003631B0">
        <w:rPr>
          <w:b w:val="0"/>
          <w:u w:val="none"/>
          <w:lang w:eastAsia="cs-CZ"/>
        </w:rPr>
        <w:t> </w:t>
      </w:r>
      <w:r w:rsidRPr="00483C85">
        <w:rPr>
          <w:b w:val="0"/>
          <w:u w:val="none"/>
          <w:lang w:eastAsia="cs-CZ"/>
        </w:rPr>
        <w:t>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</w:t>
      </w:r>
      <w:r w:rsidR="003631B0">
        <w:rPr>
          <w:b w:val="0"/>
          <w:u w:val="none"/>
          <w:lang w:eastAsia="cs-CZ"/>
        </w:rPr>
        <w:t> </w:t>
      </w:r>
      <w:r w:rsidR="00893FF1" w:rsidRPr="00893FF1">
        <w:rPr>
          <w:b w:val="0"/>
          <w:u w:val="none"/>
          <w:lang w:eastAsia="cs-CZ"/>
        </w:rPr>
        <w:t>e), odst. 8, 9 a 10, článků 11, 12, 13 a 14 směrnice 2014/23/EU, čl. 7 písm. a) až d), článku 8 a čl. 10 písm. b) až f) a h) až j) směrnice 2014/24/EU, článku 18, čl. 21 písm. b) až e) a g až i) a článků 29 a 30 směrnice 2014/25/EU a čl. 13 písm.</w:t>
      </w:r>
      <w:r w:rsidR="003631B0">
        <w:rPr>
          <w:b w:val="0"/>
          <w:u w:val="none"/>
          <w:lang w:eastAsia="cs-CZ"/>
        </w:rPr>
        <w:t> </w:t>
      </w:r>
      <w:r w:rsidR="00893FF1" w:rsidRPr="00893FF1">
        <w:rPr>
          <w:b w:val="0"/>
          <w:u w:val="none"/>
          <w:lang w:eastAsia="cs-CZ"/>
        </w:rPr>
        <w:t>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517081">
      <w:pPr>
        <w:pStyle w:val="Nadpis1"/>
        <w:numPr>
          <w:ilvl w:val="0"/>
          <w:numId w:val="12"/>
        </w:numPr>
        <w:spacing w:before="12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517081">
      <w:pPr>
        <w:pStyle w:val="Nadpis1"/>
        <w:numPr>
          <w:ilvl w:val="1"/>
          <w:numId w:val="5"/>
        </w:numPr>
        <w:spacing w:before="12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517081">
      <w:pPr>
        <w:pStyle w:val="Nadpis1"/>
        <w:numPr>
          <w:ilvl w:val="1"/>
          <w:numId w:val="5"/>
        </w:numPr>
        <w:spacing w:before="12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26B3A609" w:rsidR="009768EC" w:rsidRPr="00483C85" w:rsidRDefault="009768EC" w:rsidP="00517081">
      <w:pPr>
        <w:pStyle w:val="Nadpis1"/>
        <w:numPr>
          <w:ilvl w:val="1"/>
          <w:numId w:val="5"/>
        </w:numPr>
        <w:spacing w:before="12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</w:t>
      </w:r>
      <w:r w:rsidR="003631B0">
        <w:rPr>
          <w:b w:val="0"/>
          <w:u w:val="none"/>
          <w:lang w:eastAsia="cs-CZ"/>
        </w:rPr>
        <w:t> </w:t>
      </w:r>
      <w:r w:rsidRPr="00483C85">
        <w:rPr>
          <w:b w:val="0"/>
          <w:u w:val="none"/>
          <w:lang w:eastAsia="cs-CZ"/>
        </w:rPr>
        <w:t>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652D5F51" w:rsidR="00F010DC" w:rsidRPr="00483C85" w:rsidRDefault="00F010DC" w:rsidP="00517081">
      <w:pPr>
        <w:pStyle w:val="Nadpis1"/>
        <w:numPr>
          <w:ilvl w:val="1"/>
          <w:numId w:val="5"/>
        </w:numPr>
        <w:spacing w:before="12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 xml:space="preserve">nařízení Rady (EU) č. 269/2014 ze dne 17. března 2014, o omezujících opatřeních vzhledem k činnostem narušujícím nebo ohrožujícím územní </w:t>
      </w:r>
      <w:r w:rsidR="003A7A56" w:rsidRPr="00A72529">
        <w:rPr>
          <w:b w:val="0"/>
          <w:u w:val="none"/>
          <w:lang w:eastAsia="cs-CZ"/>
        </w:rPr>
        <w:lastRenderedPageBreak/>
        <w:t>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>, že</w:t>
      </w:r>
      <w:r w:rsidR="003631B0">
        <w:rPr>
          <w:b w:val="0"/>
          <w:u w:val="none"/>
          <w:lang w:eastAsia="cs-CZ"/>
        </w:rPr>
        <w:t> 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5B32D815" w14:textId="0B195D03" w:rsidR="007E50EB" w:rsidRPr="007A701B" w:rsidRDefault="003330E9" w:rsidP="007E50EB">
      <w:pPr>
        <w:pStyle w:val="Nadpis1"/>
        <w:numPr>
          <w:ilvl w:val="1"/>
          <w:numId w:val="5"/>
        </w:numPr>
        <w:spacing w:before="120" w:line="240" w:lineRule="auto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</w:t>
      </w:r>
      <w:r w:rsidR="003631B0">
        <w:rPr>
          <w:b w:val="0"/>
          <w:u w:val="none"/>
          <w:lang w:eastAsia="cs-CZ"/>
        </w:rPr>
        <w:t> 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AA52E0" w:rsidRPr="00517081">
        <w:rPr>
          <w:b w:val="0"/>
          <w:u w:val="none"/>
          <w:lang w:eastAsia="cs-CZ"/>
        </w:rPr>
        <w:t>5</w:t>
      </w:r>
      <w:r w:rsidR="001A3602" w:rsidRPr="00517081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C3665D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6113AE99" w:rsidR="00D85C5B" w:rsidRPr="009146AF" w:rsidRDefault="00D85C5B" w:rsidP="00517081">
      <w:pPr>
        <w:pStyle w:val="Nadpis1"/>
        <w:numPr>
          <w:ilvl w:val="2"/>
          <w:numId w:val="5"/>
        </w:numPr>
        <w:spacing w:before="120" w:line="240" w:lineRule="auto"/>
        <w:ind w:hanging="798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57EAF469" w:rsidR="00D85C5B" w:rsidRPr="009146AF" w:rsidRDefault="00D85C5B" w:rsidP="00517081">
      <w:pPr>
        <w:pStyle w:val="Nadpis1"/>
        <w:numPr>
          <w:ilvl w:val="2"/>
          <w:numId w:val="5"/>
        </w:numPr>
        <w:spacing w:before="120" w:line="240" w:lineRule="auto"/>
        <w:ind w:hanging="798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16B9718C" w14:textId="4A28F212" w:rsidR="001B3D5B" w:rsidRDefault="001B3D5B" w:rsidP="001B3D5B">
      <w:pPr>
        <w:pStyle w:val="Odstavecseseznamem"/>
        <w:numPr>
          <w:ilvl w:val="1"/>
          <w:numId w:val="5"/>
        </w:numPr>
        <w:ind w:hanging="792"/>
        <w:rPr>
          <w:rFonts w:asciiTheme="majorHAnsi" w:eastAsia="Times New Roman" w:hAnsiTheme="majorHAnsi" w:cs="Times New Roman"/>
          <w:spacing w:val="-6"/>
          <w:lang w:eastAsia="cs-CZ"/>
        </w:rPr>
      </w:pPr>
      <w:r w:rsidRPr="001B3D5B">
        <w:rPr>
          <w:rFonts w:asciiTheme="majorHAnsi" w:eastAsia="Times New Roman" w:hAnsiTheme="majorHAnsi" w:cs="Times New Roman"/>
          <w:spacing w:val="-6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1647DAE7" w14:textId="77777777" w:rsidR="001B3D5B" w:rsidRDefault="001B3D5B" w:rsidP="001B3D5B">
      <w:pPr>
        <w:pStyle w:val="Odstavecseseznamem"/>
        <w:ind w:left="792"/>
        <w:rPr>
          <w:rFonts w:asciiTheme="majorHAnsi" w:eastAsia="Times New Roman" w:hAnsiTheme="majorHAnsi" w:cs="Times New Roman"/>
          <w:spacing w:val="-6"/>
          <w:lang w:eastAsia="cs-CZ"/>
        </w:rPr>
      </w:pPr>
    </w:p>
    <w:p w14:paraId="7730FA07" w14:textId="2FC651FF" w:rsidR="001B3D5B" w:rsidRPr="001B3D5B" w:rsidRDefault="001B3D5B" w:rsidP="001B3D5B">
      <w:pPr>
        <w:pStyle w:val="Odstavecseseznamem"/>
        <w:ind w:left="792"/>
        <w:rPr>
          <w:rFonts w:asciiTheme="majorHAnsi" w:eastAsia="Times New Roman" w:hAnsiTheme="majorHAnsi" w:cs="Times New Roman"/>
          <w:spacing w:val="-6"/>
          <w:lang w:eastAsia="cs-CZ"/>
        </w:rPr>
      </w:pPr>
      <w:r w:rsidRPr="001B3D5B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 xml:space="preserve">Tato Smlouva je vyhotovena ve </w:t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fldChar w:fldCharType="begin">
          <w:ffData>
            <w:name w:val="Text27"/>
            <w:enabled/>
            <w:calcOnExit w:val="0"/>
            <w:textInput>
              <w:default w:val="[VLOŽÍ PRODÁVAJÍCÍ]"/>
            </w:textInput>
          </w:ffData>
        </w:fldChar>
      </w:r>
      <w:bookmarkStart w:id="1" w:name="Text27"/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instrText xml:space="preserve"> FORMTEXT </w:instrText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fldChar w:fldCharType="separate"/>
      </w:r>
      <w:r w:rsidR="004C1DB7">
        <w:rPr>
          <w:rFonts w:asciiTheme="majorHAnsi" w:eastAsia="Times New Roman" w:hAnsiTheme="majorHAnsi" w:cs="Times New Roman"/>
          <w:noProof/>
          <w:spacing w:val="-6"/>
          <w:highlight w:val="lightGray"/>
          <w:lang w:eastAsia="cs-CZ"/>
        </w:rPr>
        <w:t>[VLOŽÍ PRODÁVAJÍCÍ]</w:t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fldChar w:fldCharType="end"/>
      </w:r>
      <w:bookmarkEnd w:id="1"/>
      <w:r w:rsidRPr="001B3D5B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 xml:space="preserve"> stejnopisech s platností originálu, přičemž </w:t>
      </w:r>
      <w:r w:rsidR="00BE1184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>K</w:t>
      </w:r>
      <w:r w:rsidR="00D8249A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 xml:space="preserve">upující </w:t>
      </w:r>
      <w:r w:rsidRPr="001B3D5B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 xml:space="preserve">obdrží dva stejnopisy, </w:t>
      </w:r>
      <w:r w:rsidR="00BE1184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>P</w:t>
      </w:r>
      <w:r w:rsidR="00D8249A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>rodávající</w:t>
      </w:r>
      <w:r w:rsidRPr="001B3D5B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 xml:space="preserve"> obdrží </w:t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fldChar w:fldCharType="begin">
          <w:ffData>
            <w:name w:val="Text27"/>
            <w:enabled/>
            <w:calcOnExit w:val="0"/>
            <w:textInput>
              <w:default w:val="[VLOŽÍ PRODÁVAJÍCÍ]"/>
            </w:textInput>
          </w:ffData>
        </w:fldChar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instrText xml:space="preserve"> FORMTEXT </w:instrText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fldChar w:fldCharType="separate"/>
      </w:r>
      <w:r w:rsidR="004C1DB7">
        <w:rPr>
          <w:rFonts w:asciiTheme="majorHAnsi" w:eastAsia="Times New Roman" w:hAnsiTheme="majorHAnsi" w:cs="Times New Roman"/>
          <w:noProof/>
          <w:spacing w:val="-6"/>
          <w:highlight w:val="lightGray"/>
          <w:lang w:eastAsia="cs-CZ"/>
        </w:rPr>
        <w:t>[VLOŽÍ PRODÁVAJÍCÍ]</w:t>
      </w:r>
      <w:r w:rsidR="004C1DB7">
        <w:rPr>
          <w:rFonts w:asciiTheme="majorHAnsi" w:eastAsia="Times New Roman" w:hAnsiTheme="majorHAnsi" w:cs="Times New Roman"/>
          <w:spacing w:val="-6"/>
          <w:highlight w:val="lightGray"/>
          <w:lang w:eastAsia="cs-CZ"/>
        </w:rPr>
        <w:fldChar w:fldCharType="end"/>
      </w:r>
      <w:r w:rsidRPr="001B3D5B">
        <w:rPr>
          <w:rFonts w:asciiTheme="majorHAnsi" w:eastAsia="Times New Roman" w:hAnsiTheme="majorHAnsi" w:cs="Times New Roman"/>
          <w:spacing w:val="-6"/>
          <w:highlight w:val="yellow"/>
          <w:lang w:eastAsia="cs-CZ"/>
        </w:rPr>
        <w:t xml:space="preserve">  stejnopis.</w:t>
      </w:r>
    </w:p>
    <w:p w14:paraId="2CF4E6C4" w14:textId="77777777" w:rsidR="001B3D5B" w:rsidRPr="001B3D5B" w:rsidRDefault="001B3D5B" w:rsidP="001B3D5B">
      <w:pPr>
        <w:pStyle w:val="Odstavecseseznamem"/>
        <w:ind w:left="792"/>
        <w:rPr>
          <w:rFonts w:asciiTheme="majorHAnsi" w:eastAsia="Times New Roman" w:hAnsiTheme="majorHAnsi" w:cs="Times New Roman"/>
          <w:spacing w:val="-6"/>
          <w:lang w:eastAsia="cs-CZ"/>
        </w:rPr>
      </w:pPr>
    </w:p>
    <w:p w14:paraId="3089588E" w14:textId="2E914F66" w:rsidR="001B3D5B" w:rsidRPr="001B3D5B" w:rsidRDefault="001B3D5B" w:rsidP="001B3D5B">
      <w:pPr>
        <w:pStyle w:val="Odstavecseseznamem"/>
        <w:ind w:left="792"/>
        <w:rPr>
          <w:rFonts w:asciiTheme="majorHAnsi" w:eastAsia="Times New Roman" w:hAnsiTheme="majorHAnsi" w:cs="Times New Roman"/>
          <w:color w:val="FF0000"/>
          <w:spacing w:val="-6"/>
          <w:lang w:eastAsia="cs-CZ"/>
        </w:rPr>
      </w:pPr>
      <w:r w:rsidRPr="001B3D5B">
        <w:rPr>
          <w:rFonts w:asciiTheme="majorHAnsi" w:eastAsia="Times New Roman" w:hAnsiTheme="majorHAnsi" w:cs="Times New Roman"/>
          <w:color w:val="FF0000"/>
          <w:spacing w:val="-6"/>
          <w:lang w:eastAsia="cs-CZ"/>
        </w:rPr>
        <w:t>[</w:t>
      </w:r>
      <w:r w:rsidR="004C1DB7">
        <w:rPr>
          <w:rFonts w:asciiTheme="majorHAnsi" w:eastAsia="Times New Roman" w:hAnsiTheme="majorHAnsi" w:cs="Times New Roman"/>
          <w:i/>
          <w:color w:val="FF0000"/>
          <w:spacing w:val="-6"/>
          <w:lang w:eastAsia="cs-CZ"/>
        </w:rPr>
        <w:t>Prodávající</w:t>
      </w:r>
      <w:r w:rsidRPr="001B3D5B">
        <w:rPr>
          <w:rFonts w:asciiTheme="majorHAnsi" w:eastAsia="Times New Roman" w:hAnsiTheme="majorHAnsi" w:cs="Times New Roman"/>
          <w:i/>
          <w:color w:val="FF0000"/>
          <w:spacing w:val="-6"/>
          <w:lang w:eastAsia="cs-CZ"/>
        </w:rPr>
        <w:t xml:space="preserve"> vybere jednu z výše uvedených variant</w:t>
      </w:r>
      <w:r w:rsidRPr="001B3D5B">
        <w:rPr>
          <w:rFonts w:asciiTheme="majorHAnsi" w:eastAsia="Times New Roman" w:hAnsiTheme="majorHAnsi" w:cs="Times New Roman"/>
          <w:color w:val="FF0000"/>
          <w:spacing w:val="-6"/>
          <w:lang w:eastAsia="cs-CZ"/>
        </w:rPr>
        <w:t>]</w:t>
      </w:r>
    </w:p>
    <w:p w14:paraId="6857935F" w14:textId="6F5EBF3C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3D26AF" w:rsidRDefault="008B1447" w:rsidP="00517081">
      <w:pPr>
        <w:pStyle w:val="Nadpis1"/>
        <w:numPr>
          <w:ilvl w:val="1"/>
          <w:numId w:val="5"/>
        </w:numPr>
        <w:spacing w:before="12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D26AF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3D26AF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3D2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3D26AF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51708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51708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9578BF2" w:rsidR="00D85C5B" w:rsidRPr="00307EB0" w:rsidRDefault="00D85C5B" w:rsidP="00F91C43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 w:rsidRPr="00307EB0">
        <w:rPr>
          <w:rFonts w:eastAsia="Times New Roman" w:cs="Times New Roman"/>
          <w:lang w:eastAsia="cs-CZ"/>
        </w:rPr>
        <w:t>příloha č. 1:</w:t>
      </w:r>
      <w:r w:rsidRPr="00307EB0">
        <w:rPr>
          <w:rFonts w:eastAsia="Times New Roman" w:cs="Times New Roman"/>
          <w:lang w:eastAsia="cs-CZ"/>
        </w:rPr>
        <w:tab/>
      </w:r>
      <w:r w:rsidR="00307EB0" w:rsidRPr="00307EB0">
        <w:rPr>
          <w:rFonts w:eastAsia="Times New Roman" w:cs="Times New Roman"/>
          <w:lang w:eastAsia="cs-CZ"/>
        </w:rPr>
        <w:t>Obchodní podmínky</w:t>
      </w:r>
    </w:p>
    <w:p w14:paraId="46621F99" w14:textId="168A94BF" w:rsidR="00CC1601" w:rsidRPr="00307EB0" w:rsidRDefault="00CC1601" w:rsidP="00F91C43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 w:rsidRPr="00307EB0">
        <w:rPr>
          <w:rFonts w:eastAsia="Times New Roman" w:cs="Times New Roman"/>
          <w:lang w:eastAsia="cs-CZ"/>
        </w:rPr>
        <w:t>příloha č. 2:</w:t>
      </w:r>
      <w:r w:rsidRPr="00307EB0">
        <w:rPr>
          <w:rFonts w:eastAsia="Times New Roman" w:cs="Times New Roman"/>
          <w:lang w:eastAsia="cs-CZ"/>
        </w:rPr>
        <w:tab/>
      </w:r>
      <w:r w:rsidR="00307EB0" w:rsidRPr="00307EB0">
        <w:rPr>
          <w:rFonts w:eastAsia="Times New Roman" w:cs="Times New Roman"/>
          <w:lang w:eastAsia="cs-CZ"/>
        </w:rPr>
        <w:t>Seznam poddodavatelů</w:t>
      </w:r>
    </w:p>
    <w:p w14:paraId="1416137A" w14:textId="5DDFBF60" w:rsidR="00033414" w:rsidRPr="007E50EB" w:rsidRDefault="00033414" w:rsidP="00F91C43">
      <w:pPr>
        <w:overflowPunct w:val="0"/>
        <w:autoSpaceDE w:val="0"/>
        <w:autoSpaceDN w:val="0"/>
        <w:adjustRightInd w:val="0"/>
        <w:spacing w:after="120" w:line="240" w:lineRule="auto"/>
        <w:ind w:left="1418" w:hanging="1418"/>
        <w:textAlignment w:val="baseline"/>
        <w:rPr>
          <w:rFonts w:eastAsia="Times New Roman" w:cs="Times New Roman"/>
          <w:highlight w:val="yellow"/>
          <w:lang w:eastAsia="cs-CZ"/>
        </w:rPr>
      </w:pPr>
      <w:r w:rsidRPr="007E50EB">
        <w:rPr>
          <w:rFonts w:eastAsia="Times New Roman" w:cs="Times New Roman"/>
          <w:highlight w:val="yellow"/>
          <w:lang w:eastAsia="cs-CZ"/>
        </w:rPr>
        <w:lastRenderedPageBreak/>
        <w:t xml:space="preserve">příloha č. 3: </w:t>
      </w:r>
      <w:r w:rsidRPr="007E50EB">
        <w:rPr>
          <w:rFonts w:eastAsia="Times New Roman" w:cs="Times New Roman"/>
          <w:highlight w:val="yellow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tbl>
      <w:tblPr>
        <w:tblStyle w:val="Mkatabulky1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7A701B" w:rsidRPr="007A701B" w14:paraId="5E528550" w14:textId="77777777" w:rsidTr="00041E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000C3A31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  <w:highlight w:val="yellow"/>
              </w:rPr>
            </w:pPr>
            <w:r w:rsidRPr="007A701B">
              <w:rPr>
                <w:rFonts w:asciiTheme="majorHAnsi" w:hAnsiTheme="majorHAnsi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0211E06" w14:textId="77777777" w:rsidR="007A701B" w:rsidRPr="007A701B" w:rsidRDefault="007A701B" w:rsidP="007A701B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189CB8C" w14:textId="77777777" w:rsidR="007A701B" w:rsidRPr="007A701B" w:rsidRDefault="007A701B" w:rsidP="007A701B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r w:rsidRPr="007A701B">
              <w:rPr>
                <w:rFonts w:asciiTheme="majorHAnsi" w:hAnsiTheme="majorHAnsi"/>
                <w:highlight w:val="yellow"/>
              </w:rPr>
              <w:t>V ………………………… dne</w:t>
            </w:r>
          </w:p>
        </w:tc>
      </w:tr>
      <w:tr w:rsidR="007A701B" w:rsidRPr="007A701B" w14:paraId="7A6A61FC" w14:textId="77777777" w:rsidTr="00041E94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1ED12488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5" w:type="dxa"/>
            <w:shd w:val="clear" w:color="auto" w:fill="auto"/>
          </w:tcPr>
          <w:p w14:paraId="58734069" w14:textId="77777777" w:rsidR="007A701B" w:rsidRPr="007A701B" w:rsidRDefault="007A701B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587ACF2A" w14:textId="77777777" w:rsidR="007A701B" w:rsidRPr="007A701B" w:rsidRDefault="007A701B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7A701B" w:rsidRPr="007A701B" w14:paraId="3CBBB5D0" w14:textId="77777777" w:rsidTr="00041E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E3DF7AE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  <w:i/>
              </w:rPr>
            </w:pPr>
          </w:p>
          <w:p w14:paraId="0A53C739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7A701B">
              <w:rPr>
                <w:rFonts w:asciiTheme="majorHAnsi" w:hAnsiTheme="majorHAnsi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4B0E9698" w14:textId="77777777" w:rsidR="007A701B" w:rsidRPr="007A701B" w:rsidRDefault="007A701B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09B42A9A" w14:textId="77777777" w:rsidR="007A701B" w:rsidRPr="007A701B" w:rsidRDefault="007A701B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</w:p>
          <w:p w14:paraId="5FD30034" w14:textId="77777777" w:rsidR="007A701B" w:rsidRPr="007A701B" w:rsidRDefault="007A701B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A701B">
              <w:rPr>
                <w:rFonts w:asciiTheme="majorHAnsi" w:hAnsiTheme="majorHAnsi"/>
              </w:rPr>
              <w:t>…………………………………………………</w:t>
            </w:r>
          </w:p>
        </w:tc>
      </w:tr>
      <w:tr w:rsidR="007A701B" w:rsidRPr="007A701B" w14:paraId="7297E860" w14:textId="77777777" w:rsidTr="00041E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83ACE1F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7A701B">
              <w:rPr>
                <w:rFonts w:asciiTheme="majorHAnsi" w:hAnsiTheme="majorHAnsi"/>
                <w:bCs/>
              </w:rPr>
              <w:t>Ing. Petr Vodička</w:t>
            </w:r>
          </w:p>
          <w:p w14:paraId="530241C5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7A701B">
              <w:rPr>
                <w:rFonts w:asciiTheme="majorHAnsi" w:hAnsiTheme="majorHAnsi"/>
                <w:bCs/>
              </w:rPr>
              <w:t>Správa železnic, státní organizace</w:t>
            </w:r>
          </w:p>
          <w:p w14:paraId="18A1F97C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7A701B">
              <w:rPr>
                <w:rFonts w:asciiTheme="majorHAnsi" w:hAnsiTheme="majorHAnsi"/>
                <w:bCs/>
              </w:rPr>
              <w:t>ředitel Oblastního ředitelství</w:t>
            </w:r>
          </w:p>
          <w:p w14:paraId="18ECD880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7A701B">
              <w:rPr>
                <w:rFonts w:asciiTheme="majorHAnsi" w:hAnsiTheme="majorHAnsi"/>
                <w:bCs/>
              </w:rPr>
              <w:t>Hradec Králové</w:t>
            </w:r>
          </w:p>
          <w:p w14:paraId="513A60CB" w14:textId="77777777" w:rsidR="007A701B" w:rsidRPr="007A701B" w:rsidRDefault="007A701B" w:rsidP="007A701B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7A031B9" w14:textId="77777777" w:rsidR="007A701B" w:rsidRPr="007A701B" w:rsidRDefault="007A701B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67A06836" w14:textId="30BA4701" w:rsidR="007A701B" w:rsidRPr="007A701B" w:rsidRDefault="00D8249A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BE1184">
              <w:rPr>
                <w:rFonts w:asciiTheme="majorHAnsi" w:hAnsiTheme="majorHAnsi"/>
                <w:bCs/>
                <w:highlight w:val="yellow"/>
              </w:rPr>
              <w:t>Prodávající</w:t>
            </w:r>
          </w:p>
          <w:p w14:paraId="0FCACFF0" w14:textId="77777777" w:rsidR="007A701B" w:rsidRPr="007A701B" w:rsidRDefault="007A701B" w:rsidP="007A701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</w:p>
        </w:tc>
      </w:tr>
    </w:tbl>
    <w:p w14:paraId="48BAA1F0" w14:textId="77777777" w:rsidR="007A701B" w:rsidRPr="007A701B" w:rsidRDefault="007A701B" w:rsidP="007A701B">
      <w:pPr>
        <w:spacing w:after="0" w:line="276" w:lineRule="auto"/>
        <w:jc w:val="both"/>
        <w:rPr>
          <w:rFonts w:asciiTheme="majorHAnsi" w:hAnsiTheme="majorHAnsi"/>
        </w:rPr>
      </w:pPr>
    </w:p>
    <w:p w14:paraId="3AE33FCA" w14:textId="77777777" w:rsidR="007A701B" w:rsidRPr="007A701B" w:rsidRDefault="007A701B" w:rsidP="007A701B">
      <w:pPr>
        <w:spacing w:after="0" w:line="276" w:lineRule="auto"/>
        <w:jc w:val="both"/>
        <w:rPr>
          <w:rFonts w:asciiTheme="majorHAnsi" w:hAnsiTheme="majorHAnsi"/>
        </w:rPr>
      </w:pPr>
    </w:p>
    <w:p w14:paraId="3B130CCA" w14:textId="77777777" w:rsidR="007A701B" w:rsidRPr="007A701B" w:rsidRDefault="007A701B" w:rsidP="007A701B">
      <w:pPr>
        <w:spacing w:after="0" w:line="276" w:lineRule="auto"/>
        <w:jc w:val="both"/>
        <w:rPr>
          <w:rFonts w:asciiTheme="majorHAnsi" w:hAnsiTheme="majorHAnsi"/>
        </w:rPr>
      </w:pPr>
      <w:r w:rsidRPr="007A701B">
        <w:rPr>
          <w:rFonts w:ascii="Verdana" w:hAnsi="Verdana" w:cstheme="minorHAnsi"/>
          <w:highlight w:val="yellow"/>
        </w:rPr>
        <w:t>Tato Smlouva byla uveřejněna prostřednictvím registru smluv dne …………………</w:t>
      </w:r>
    </w:p>
    <w:p w14:paraId="407EA154" w14:textId="77777777" w:rsidR="001B3D5B" w:rsidRPr="003631B0" w:rsidRDefault="001B3D5B" w:rsidP="007E50EB">
      <w:pPr>
        <w:suppressAutoHyphens/>
        <w:spacing w:line="276" w:lineRule="auto"/>
        <w:rPr>
          <w:rFonts w:eastAsia="Calibri" w:cs="Times New Roman"/>
        </w:rPr>
      </w:pPr>
    </w:p>
    <w:sectPr w:rsidR="001B3D5B" w:rsidRPr="003631B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4CC26" w14:textId="77777777" w:rsidR="00CE32DD" w:rsidRDefault="00CE32DD" w:rsidP="00962258">
      <w:pPr>
        <w:spacing w:after="0" w:line="240" w:lineRule="auto"/>
      </w:pPr>
      <w:r>
        <w:separator/>
      </w:r>
    </w:p>
  </w:endnote>
  <w:endnote w:type="continuationSeparator" w:id="0">
    <w:p w14:paraId="5E4A3CD2" w14:textId="77777777" w:rsidR="00CE32DD" w:rsidRDefault="00CE32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A98C28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51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51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3B83CAC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51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51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7C93D" w14:textId="77777777" w:rsidR="00CE32DD" w:rsidRDefault="00CE32DD" w:rsidP="00962258">
      <w:pPr>
        <w:spacing w:after="0" w:line="240" w:lineRule="auto"/>
      </w:pPr>
      <w:r>
        <w:separator/>
      </w:r>
    </w:p>
  </w:footnote>
  <w:footnote w:type="continuationSeparator" w:id="0">
    <w:p w14:paraId="5BCA9081" w14:textId="77777777" w:rsidR="00CE32DD" w:rsidRDefault="00CE32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84942"/>
    <w:multiLevelType w:val="hybridMultilevel"/>
    <w:tmpl w:val="685E431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F5435E"/>
    <w:multiLevelType w:val="hybridMultilevel"/>
    <w:tmpl w:val="051C3C0E"/>
    <w:lvl w:ilvl="0" w:tplc="C93EFB5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9510B"/>
    <w:multiLevelType w:val="hybridMultilevel"/>
    <w:tmpl w:val="AB3EF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2E4154"/>
    <w:multiLevelType w:val="multilevel"/>
    <w:tmpl w:val="AD925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cnormalbulleted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37794EC0"/>
    <w:multiLevelType w:val="multilevel"/>
    <w:tmpl w:val="8128398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6A3DCA"/>
    <w:multiLevelType w:val="hybridMultilevel"/>
    <w:tmpl w:val="F53C83CC"/>
    <w:lvl w:ilvl="0" w:tplc="CD02740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ACC2B77"/>
    <w:multiLevelType w:val="multilevel"/>
    <w:tmpl w:val="3FAC06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9376602">
    <w:abstractNumId w:val="4"/>
  </w:num>
  <w:num w:numId="2" w16cid:durableId="190807331">
    <w:abstractNumId w:val="0"/>
  </w:num>
  <w:num w:numId="3" w16cid:durableId="1029525555">
    <w:abstractNumId w:val="6"/>
  </w:num>
  <w:num w:numId="4" w16cid:durableId="1031615978">
    <w:abstractNumId w:val="14"/>
  </w:num>
  <w:num w:numId="5" w16cid:durableId="1289583938">
    <w:abstractNumId w:val="9"/>
  </w:num>
  <w:num w:numId="6" w16cid:durableId="480923798">
    <w:abstractNumId w:val="7"/>
  </w:num>
  <w:num w:numId="7" w16cid:durableId="186138981">
    <w:abstractNumId w:val="10"/>
  </w:num>
  <w:num w:numId="8" w16cid:durableId="748963041">
    <w:abstractNumId w:val="13"/>
  </w:num>
  <w:num w:numId="9" w16cid:durableId="492917369">
    <w:abstractNumId w:val="16"/>
  </w:num>
  <w:num w:numId="10" w16cid:durableId="892812721">
    <w:abstractNumId w:val="12"/>
  </w:num>
  <w:num w:numId="11" w16cid:durableId="575896437">
    <w:abstractNumId w:val="9"/>
  </w:num>
  <w:num w:numId="12" w16cid:durableId="91823007">
    <w:abstractNumId w:val="3"/>
  </w:num>
  <w:num w:numId="13" w16cid:durableId="119081087">
    <w:abstractNumId w:val="9"/>
  </w:num>
  <w:num w:numId="14" w16cid:durableId="42756048">
    <w:abstractNumId w:val="9"/>
  </w:num>
  <w:num w:numId="15" w16cid:durableId="903374423">
    <w:abstractNumId w:val="9"/>
  </w:num>
  <w:num w:numId="16" w16cid:durableId="626856430">
    <w:abstractNumId w:val="9"/>
  </w:num>
  <w:num w:numId="17" w16cid:durableId="872419150">
    <w:abstractNumId w:val="11"/>
  </w:num>
  <w:num w:numId="18" w16cid:durableId="1473525000">
    <w:abstractNumId w:val="15"/>
  </w:num>
  <w:num w:numId="19" w16cid:durableId="1867401454">
    <w:abstractNumId w:val="9"/>
  </w:num>
  <w:num w:numId="20" w16cid:durableId="1047610472">
    <w:abstractNumId w:val="11"/>
    <w:lvlOverride w:ilvl="0">
      <w:startOverride w:val="1"/>
    </w:lvlOverride>
  </w:num>
  <w:num w:numId="21" w16cid:durableId="1846167005">
    <w:abstractNumId w:val="5"/>
  </w:num>
  <w:num w:numId="22" w16cid:durableId="639381777">
    <w:abstractNumId w:val="8"/>
  </w:num>
  <w:num w:numId="23" w16cid:durableId="1376854068">
    <w:abstractNumId w:val="11"/>
  </w:num>
  <w:num w:numId="24" w16cid:durableId="1592156066">
    <w:abstractNumId w:val="1"/>
  </w:num>
  <w:num w:numId="25" w16cid:durableId="10198904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4D01"/>
    <w:rsid w:val="00054EFA"/>
    <w:rsid w:val="00065284"/>
    <w:rsid w:val="00072C1E"/>
    <w:rsid w:val="00092B31"/>
    <w:rsid w:val="000C5DA0"/>
    <w:rsid w:val="000D1379"/>
    <w:rsid w:val="000D4601"/>
    <w:rsid w:val="000E23A7"/>
    <w:rsid w:val="000E4F4B"/>
    <w:rsid w:val="000E75C0"/>
    <w:rsid w:val="000F674A"/>
    <w:rsid w:val="0010693F"/>
    <w:rsid w:val="00107F7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3D5B"/>
    <w:rsid w:val="001B540F"/>
    <w:rsid w:val="001C22E7"/>
    <w:rsid w:val="001C4874"/>
    <w:rsid w:val="001D596A"/>
    <w:rsid w:val="001E29D3"/>
    <w:rsid w:val="001E62F8"/>
    <w:rsid w:val="00203507"/>
    <w:rsid w:val="00203BA9"/>
    <w:rsid w:val="00207DF5"/>
    <w:rsid w:val="00242024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7EB0"/>
    <w:rsid w:val="003119BE"/>
    <w:rsid w:val="00312CD7"/>
    <w:rsid w:val="00317167"/>
    <w:rsid w:val="00322681"/>
    <w:rsid w:val="003330E9"/>
    <w:rsid w:val="00341DCF"/>
    <w:rsid w:val="00346E96"/>
    <w:rsid w:val="00357BC6"/>
    <w:rsid w:val="003631B0"/>
    <w:rsid w:val="00385A72"/>
    <w:rsid w:val="003956C6"/>
    <w:rsid w:val="003A11C6"/>
    <w:rsid w:val="003A63EE"/>
    <w:rsid w:val="003A7A56"/>
    <w:rsid w:val="003B39EC"/>
    <w:rsid w:val="003C7808"/>
    <w:rsid w:val="003D06BE"/>
    <w:rsid w:val="003D26AF"/>
    <w:rsid w:val="003D638E"/>
    <w:rsid w:val="004150F3"/>
    <w:rsid w:val="0041746F"/>
    <w:rsid w:val="0043728F"/>
    <w:rsid w:val="00441430"/>
    <w:rsid w:val="00441A7A"/>
    <w:rsid w:val="00450F07"/>
    <w:rsid w:val="00453CD3"/>
    <w:rsid w:val="00460660"/>
    <w:rsid w:val="00462296"/>
    <w:rsid w:val="004624A6"/>
    <w:rsid w:val="004726B6"/>
    <w:rsid w:val="00483C85"/>
    <w:rsid w:val="00486107"/>
    <w:rsid w:val="00491827"/>
    <w:rsid w:val="00493B1B"/>
    <w:rsid w:val="004B348C"/>
    <w:rsid w:val="004C1DB7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17081"/>
    <w:rsid w:val="00523EA7"/>
    <w:rsid w:val="00553375"/>
    <w:rsid w:val="005736B7"/>
    <w:rsid w:val="00575E5A"/>
    <w:rsid w:val="0059167B"/>
    <w:rsid w:val="005935C5"/>
    <w:rsid w:val="00593AE5"/>
    <w:rsid w:val="00597D00"/>
    <w:rsid w:val="005A6A5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02A2"/>
    <w:rsid w:val="00743525"/>
    <w:rsid w:val="0074484D"/>
    <w:rsid w:val="00752986"/>
    <w:rsid w:val="007576A4"/>
    <w:rsid w:val="0076286B"/>
    <w:rsid w:val="00762E36"/>
    <w:rsid w:val="00766846"/>
    <w:rsid w:val="007711C8"/>
    <w:rsid w:val="0077261C"/>
    <w:rsid w:val="0077673A"/>
    <w:rsid w:val="007846E1"/>
    <w:rsid w:val="00791AC7"/>
    <w:rsid w:val="007A0AB5"/>
    <w:rsid w:val="007A0C04"/>
    <w:rsid w:val="007A701B"/>
    <w:rsid w:val="007B4B2B"/>
    <w:rsid w:val="007B570C"/>
    <w:rsid w:val="007B5A1F"/>
    <w:rsid w:val="007C589B"/>
    <w:rsid w:val="007C6215"/>
    <w:rsid w:val="007D37B0"/>
    <w:rsid w:val="007E165D"/>
    <w:rsid w:val="007E4A6E"/>
    <w:rsid w:val="007E50EB"/>
    <w:rsid w:val="007F56A7"/>
    <w:rsid w:val="007F5EC4"/>
    <w:rsid w:val="00807DD0"/>
    <w:rsid w:val="00823FBB"/>
    <w:rsid w:val="00836574"/>
    <w:rsid w:val="00853209"/>
    <w:rsid w:val="008659F3"/>
    <w:rsid w:val="00886D4B"/>
    <w:rsid w:val="00893FF1"/>
    <w:rsid w:val="00895406"/>
    <w:rsid w:val="00897BC2"/>
    <w:rsid w:val="008A3568"/>
    <w:rsid w:val="008B1447"/>
    <w:rsid w:val="008D03B9"/>
    <w:rsid w:val="008D6B46"/>
    <w:rsid w:val="008F18D6"/>
    <w:rsid w:val="0090247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0EB1"/>
    <w:rsid w:val="00962258"/>
    <w:rsid w:val="009678B7"/>
    <w:rsid w:val="00975DDD"/>
    <w:rsid w:val="009768EC"/>
    <w:rsid w:val="009833E1"/>
    <w:rsid w:val="00986E0C"/>
    <w:rsid w:val="009900CE"/>
    <w:rsid w:val="00992D9C"/>
    <w:rsid w:val="00996CB8"/>
    <w:rsid w:val="009B14A9"/>
    <w:rsid w:val="009B2E97"/>
    <w:rsid w:val="009B7F92"/>
    <w:rsid w:val="009C1284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2F55"/>
    <w:rsid w:val="00AD6731"/>
    <w:rsid w:val="00B03CF9"/>
    <w:rsid w:val="00B15D0D"/>
    <w:rsid w:val="00B25AED"/>
    <w:rsid w:val="00B56FC3"/>
    <w:rsid w:val="00B75EE1"/>
    <w:rsid w:val="00B77481"/>
    <w:rsid w:val="00B8518B"/>
    <w:rsid w:val="00B85DD0"/>
    <w:rsid w:val="00B951CC"/>
    <w:rsid w:val="00BA6E6C"/>
    <w:rsid w:val="00BC51D3"/>
    <w:rsid w:val="00BC7058"/>
    <w:rsid w:val="00BD32CD"/>
    <w:rsid w:val="00BD7E91"/>
    <w:rsid w:val="00BE1184"/>
    <w:rsid w:val="00C02D0A"/>
    <w:rsid w:val="00C03A6E"/>
    <w:rsid w:val="00C03A71"/>
    <w:rsid w:val="00C14266"/>
    <w:rsid w:val="00C24C30"/>
    <w:rsid w:val="00C3665D"/>
    <w:rsid w:val="00C3718B"/>
    <w:rsid w:val="00C44F6A"/>
    <w:rsid w:val="00C47AE3"/>
    <w:rsid w:val="00C51087"/>
    <w:rsid w:val="00C63CB5"/>
    <w:rsid w:val="00C71C07"/>
    <w:rsid w:val="00C73A21"/>
    <w:rsid w:val="00C82BF5"/>
    <w:rsid w:val="00CA4013"/>
    <w:rsid w:val="00CA5454"/>
    <w:rsid w:val="00CB3AD5"/>
    <w:rsid w:val="00CC1601"/>
    <w:rsid w:val="00CC4C29"/>
    <w:rsid w:val="00CD16B7"/>
    <w:rsid w:val="00CD1FC4"/>
    <w:rsid w:val="00CD7389"/>
    <w:rsid w:val="00CE32DD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249A"/>
    <w:rsid w:val="00D831A3"/>
    <w:rsid w:val="00D85C5B"/>
    <w:rsid w:val="00DC41AD"/>
    <w:rsid w:val="00DC4D99"/>
    <w:rsid w:val="00DC75F3"/>
    <w:rsid w:val="00DD46F3"/>
    <w:rsid w:val="00DE56F2"/>
    <w:rsid w:val="00DF116D"/>
    <w:rsid w:val="00DF51C6"/>
    <w:rsid w:val="00DF732D"/>
    <w:rsid w:val="00E15ABA"/>
    <w:rsid w:val="00E17FE7"/>
    <w:rsid w:val="00E3694E"/>
    <w:rsid w:val="00E55B7B"/>
    <w:rsid w:val="00E7068E"/>
    <w:rsid w:val="00E967DA"/>
    <w:rsid w:val="00EA1DA7"/>
    <w:rsid w:val="00EB104F"/>
    <w:rsid w:val="00ED14BD"/>
    <w:rsid w:val="00F010DC"/>
    <w:rsid w:val="00F02E2E"/>
    <w:rsid w:val="00F0533E"/>
    <w:rsid w:val="00F06007"/>
    <w:rsid w:val="00F1048D"/>
    <w:rsid w:val="00F12DEC"/>
    <w:rsid w:val="00F1715C"/>
    <w:rsid w:val="00F20995"/>
    <w:rsid w:val="00F30576"/>
    <w:rsid w:val="00F310F8"/>
    <w:rsid w:val="00F35939"/>
    <w:rsid w:val="00F45607"/>
    <w:rsid w:val="00F51828"/>
    <w:rsid w:val="00F63543"/>
    <w:rsid w:val="00F659EB"/>
    <w:rsid w:val="00F86BA6"/>
    <w:rsid w:val="00F91C43"/>
    <w:rsid w:val="00FA21D9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acnormalbulleted">
    <w:name w:val="ac_normal_bulleted"/>
    <w:basedOn w:val="Normln"/>
    <w:next w:val="Normln"/>
    <w:autoRedefine/>
    <w:qFormat/>
    <w:rsid w:val="00CA5454"/>
    <w:pPr>
      <w:numPr>
        <w:ilvl w:val="1"/>
        <w:numId w:val="22"/>
      </w:numPr>
      <w:tabs>
        <w:tab w:val="left" w:pos="426"/>
      </w:tabs>
      <w:spacing w:before="120" w:after="120" w:line="240" w:lineRule="auto"/>
    </w:pPr>
    <w:rPr>
      <w:rFonts w:ascii="Verdana" w:eastAsia="Calibri" w:hAnsi="Verdana" w:cs="Arial"/>
    </w:rPr>
  </w:style>
  <w:style w:type="character" w:customStyle="1" w:styleId="TextbezodsazenChar">
    <w:name w:val="_Text_bez_odsazení Char"/>
    <w:basedOn w:val="Standardnpsmoodstavce"/>
    <w:link w:val="Textbezodsazen"/>
    <w:locked/>
    <w:rsid w:val="00B85DD0"/>
  </w:style>
  <w:style w:type="paragraph" w:customStyle="1" w:styleId="Textbezodsazen">
    <w:name w:val="_Text_bez_odsazení"/>
    <w:basedOn w:val="Normln"/>
    <w:link w:val="TextbezodsazenChar"/>
    <w:qFormat/>
    <w:rsid w:val="00B85DD0"/>
    <w:pPr>
      <w:spacing w:after="120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7A701B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Tun">
    <w:name w:val="_Tučně"/>
    <w:basedOn w:val="Standardnpsmoodstavce"/>
    <w:uiPriority w:val="1"/>
    <w:qFormat/>
    <w:rsid w:val="00D8249A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576FF7-AC5A-4990-A3FA-B347A0441A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2364</Words>
  <Characters>13950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Löwová Monika, Bc.</cp:lastModifiedBy>
  <cp:revision>3</cp:revision>
  <cp:lastPrinted>2017-11-28T17:18:00Z</cp:lastPrinted>
  <dcterms:created xsi:type="dcterms:W3CDTF">2023-06-14T04:20:00Z</dcterms:created>
  <dcterms:modified xsi:type="dcterms:W3CDTF">2023-06-27T07:11:00Z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